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jc w:val="both"/>
        <w:textAlignment w:val="auto"/>
        <w:outlineLvl w:val="9"/>
        <w:rPr>
          <w:rFonts w:hint="eastAsia" w:ascii="仿宋" w:hAnsi="仿宋" w:eastAsia="仿宋" w:cs="仿宋"/>
          <w:b/>
          <w:color w:val="000000" w:themeColor="text1"/>
          <w:sz w:val="32"/>
          <w:szCs w:val="32"/>
          <w:shd w:val="clear" w:color="auto" w:fill="FFFFFF"/>
          <w14:textFill>
            <w14:solidFill>
              <w14:schemeClr w14:val="tx1"/>
            </w14:solidFill>
          </w14:textFill>
        </w:rPr>
      </w:pPr>
      <w:r>
        <w:rPr>
          <w:rFonts w:hint="eastAsia" w:ascii="仿宋" w:hAnsi="仿宋" w:eastAsia="仿宋" w:cs="仿宋"/>
          <w:b/>
          <w:color w:val="000000" w:themeColor="text1"/>
          <w:sz w:val="32"/>
          <w:szCs w:val="32"/>
          <w:shd w:val="clear" w:color="auto" w:fill="FFFFFF"/>
          <w:lang w:val="en-US" w:eastAsia="zh-CN"/>
          <w14:textFill>
            <w14:solidFill>
              <w14:schemeClr w14:val="tx1"/>
            </w14:solidFill>
          </w14:textFill>
        </w:rPr>
        <w:t>1.</w:t>
      </w:r>
      <w:r>
        <w:rPr>
          <w:rFonts w:hint="eastAsia" w:ascii="仿宋" w:hAnsi="仿宋" w:eastAsia="仿宋" w:cs="仿宋"/>
          <w:b/>
          <w:color w:val="000000" w:themeColor="text1"/>
          <w:sz w:val="32"/>
          <w:szCs w:val="32"/>
          <w:shd w:val="clear" w:color="auto" w:fill="FFFFFF"/>
          <w14:textFill>
            <w14:solidFill>
              <w14:schemeClr w14:val="tx1"/>
            </w14:solidFill>
          </w14:textFill>
        </w:rPr>
        <w:t>债务情况说明：</w:t>
      </w:r>
    </w:p>
    <w:p>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截至到202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年底，我区政府债务总规模为</w:t>
      </w:r>
      <w:r>
        <w:rPr>
          <w:rFonts w:hint="eastAsia" w:ascii="Times New Roman" w:hAnsi="Times New Roman" w:eastAsia="仿宋_GB2312" w:cs="Times New Roman"/>
          <w:color w:val="auto"/>
          <w:sz w:val="32"/>
          <w:szCs w:val="32"/>
          <w:lang w:val="en-US" w:eastAsia="zh-CN"/>
        </w:rPr>
        <w:t>344158</w:t>
      </w:r>
      <w:r>
        <w:rPr>
          <w:rFonts w:hint="default" w:ascii="Times New Roman" w:hAnsi="Times New Roman" w:eastAsia="仿宋_GB2312" w:cs="Times New Roman"/>
          <w:color w:val="auto"/>
          <w:sz w:val="32"/>
          <w:szCs w:val="32"/>
          <w:lang w:val="en-US" w:eastAsia="zh-CN"/>
        </w:rPr>
        <w:t>万元，其中：一般债务6</w:t>
      </w:r>
      <w:r>
        <w:rPr>
          <w:rFonts w:hint="eastAsia" w:ascii="Times New Roman" w:hAnsi="Times New Roman" w:eastAsia="仿宋_GB2312" w:cs="Times New Roman"/>
          <w:color w:val="auto"/>
          <w:sz w:val="32"/>
          <w:szCs w:val="32"/>
          <w:lang w:val="en-US" w:eastAsia="zh-CN"/>
        </w:rPr>
        <w:t>4197</w:t>
      </w:r>
      <w:r>
        <w:rPr>
          <w:rFonts w:hint="default" w:ascii="Times New Roman" w:hAnsi="Times New Roman" w:eastAsia="仿宋_GB2312" w:cs="Times New Roman"/>
          <w:color w:val="auto"/>
          <w:sz w:val="32"/>
          <w:szCs w:val="32"/>
          <w:lang w:val="en-US" w:eastAsia="zh-CN"/>
        </w:rPr>
        <w:t>万元，专项债务2</w:t>
      </w:r>
      <w:r>
        <w:rPr>
          <w:rFonts w:hint="eastAsia" w:ascii="Times New Roman" w:hAnsi="Times New Roman" w:eastAsia="仿宋_GB2312" w:cs="Times New Roman"/>
          <w:color w:val="auto"/>
          <w:sz w:val="32"/>
          <w:szCs w:val="32"/>
          <w:lang w:val="en-US" w:eastAsia="zh-CN"/>
        </w:rPr>
        <w:t>79961</w:t>
      </w:r>
      <w:r>
        <w:rPr>
          <w:rFonts w:hint="default" w:ascii="Times New Roman" w:hAnsi="Times New Roman" w:eastAsia="仿宋_GB2312" w:cs="Times New Roman"/>
          <w:color w:val="auto"/>
          <w:sz w:val="32"/>
          <w:szCs w:val="32"/>
          <w:lang w:val="en-US" w:eastAsia="zh-CN"/>
        </w:rPr>
        <w:t>万元。当年新增一般债券</w:t>
      </w:r>
      <w:r>
        <w:rPr>
          <w:rFonts w:hint="eastAsia" w:ascii="Times New Roman" w:hAnsi="Times New Roman" w:eastAsia="仿宋_GB2312" w:cs="Times New Roman"/>
          <w:color w:val="auto"/>
          <w:sz w:val="32"/>
          <w:szCs w:val="32"/>
          <w:lang w:val="en-US" w:eastAsia="zh-CN"/>
        </w:rPr>
        <w:t>2100</w:t>
      </w:r>
      <w:r>
        <w:rPr>
          <w:rFonts w:hint="default" w:ascii="Times New Roman" w:hAnsi="Times New Roman" w:eastAsia="仿宋_GB2312" w:cs="Times New Roman"/>
          <w:color w:val="auto"/>
          <w:sz w:val="32"/>
          <w:szCs w:val="32"/>
          <w:lang w:val="en-US" w:eastAsia="zh-CN"/>
        </w:rPr>
        <w:t>万元，主要用于重点保障基础设施、环境卫生、产业项目等公益性资本支出项目，债券期限</w:t>
      </w:r>
      <w:r>
        <w:rPr>
          <w:rFonts w:hint="eastAsia" w:ascii="Times New Roman" w:hAnsi="Times New Roman" w:eastAsia="仿宋_GB2312" w:cs="Times New Roman"/>
          <w:color w:val="auto"/>
          <w:sz w:val="32"/>
          <w:szCs w:val="32"/>
          <w:lang w:val="en-US" w:eastAsia="zh-CN"/>
        </w:rPr>
        <w:t>分别</w:t>
      </w:r>
      <w:r>
        <w:rPr>
          <w:rFonts w:hint="default" w:ascii="Times New Roman" w:hAnsi="Times New Roman" w:eastAsia="仿宋_GB2312" w:cs="Times New Roman"/>
          <w:color w:val="auto"/>
          <w:sz w:val="32"/>
          <w:szCs w:val="32"/>
          <w:lang w:val="en-US" w:eastAsia="zh-CN"/>
        </w:rPr>
        <w:t>为3年</w:t>
      </w:r>
      <w:r>
        <w:rPr>
          <w:rFonts w:hint="eastAsia" w:ascii="Times New Roman" w:hAnsi="Times New Roman" w:eastAsia="仿宋_GB2312" w:cs="Times New Roman"/>
          <w:color w:val="auto"/>
          <w:sz w:val="32"/>
          <w:szCs w:val="32"/>
          <w:lang w:val="en-US" w:eastAsia="zh-CN"/>
        </w:rPr>
        <w:t>和10年</w:t>
      </w:r>
      <w:r>
        <w:rPr>
          <w:rFonts w:hint="default" w:ascii="Times New Roman" w:hAnsi="Times New Roman" w:eastAsia="仿宋_GB2312" w:cs="Times New Roman"/>
          <w:color w:val="auto"/>
          <w:sz w:val="32"/>
          <w:szCs w:val="32"/>
          <w:lang w:val="en-US" w:eastAsia="zh-CN"/>
        </w:rPr>
        <w:t>，新增专项债券63800万元，主要用于有一定收益的公益性项目，为长株潭先进硬质新材料产业园配套项目一期44900万元，期限为15年；株洲市荷塘区主城区社会停车场建设项目8900万元 ，期限为15年；仙庾镇农村产业融合发展示范园基础设施建设项目10000万元 ，期限为15年；再融资债券</w:t>
      </w:r>
      <w:r>
        <w:rPr>
          <w:rFonts w:hint="eastAsia" w:ascii="Times New Roman" w:hAnsi="Times New Roman" w:eastAsia="仿宋_GB2312" w:cs="Times New Roman"/>
          <w:color w:val="auto"/>
          <w:sz w:val="32"/>
          <w:szCs w:val="32"/>
          <w:lang w:val="en-US" w:eastAsia="zh-CN"/>
        </w:rPr>
        <w:t>9037</w:t>
      </w:r>
      <w:r>
        <w:rPr>
          <w:rFonts w:hint="default" w:ascii="Times New Roman" w:hAnsi="Times New Roman" w:eastAsia="仿宋_GB2312" w:cs="Times New Roman"/>
          <w:color w:val="auto"/>
          <w:sz w:val="32"/>
          <w:szCs w:val="32"/>
          <w:lang w:val="en-US" w:eastAsia="zh-CN"/>
        </w:rPr>
        <w:t>万元。一般债券付息支出</w:t>
      </w:r>
      <w:r>
        <w:rPr>
          <w:rFonts w:hint="eastAsia" w:ascii="Times New Roman" w:hAnsi="Times New Roman" w:eastAsia="仿宋_GB2312" w:cs="Times New Roman"/>
          <w:color w:val="auto"/>
          <w:sz w:val="32"/>
          <w:szCs w:val="32"/>
          <w:lang w:val="en-US" w:eastAsia="zh-CN"/>
        </w:rPr>
        <w:t>2251</w:t>
      </w:r>
      <w:r>
        <w:rPr>
          <w:rFonts w:hint="default" w:ascii="Times New Roman" w:hAnsi="Times New Roman" w:eastAsia="仿宋_GB2312" w:cs="Times New Roman"/>
          <w:color w:val="auto"/>
          <w:sz w:val="32"/>
          <w:szCs w:val="32"/>
          <w:lang w:val="en-US" w:eastAsia="zh-CN"/>
        </w:rPr>
        <w:t>万元，专项债券付息支出9186.16万元。</w:t>
      </w:r>
    </w:p>
    <w:p>
      <w:pPr>
        <w:rPr>
          <w:rFonts w:hint="eastAsia" w:ascii="仿宋" w:hAnsi="仿宋" w:eastAsia="仿宋" w:cs="仿宋"/>
          <w:b/>
          <w:color w:val="000000" w:themeColor="text1"/>
          <w:sz w:val="32"/>
          <w:szCs w:val="32"/>
          <w:shd w:val="clear" w:color="auto" w:fill="FFFFFF"/>
          <w14:textFill>
            <w14:solidFill>
              <w14:schemeClr w14:val="tx1"/>
            </w14:solidFill>
          </w14:textFill>
        </w:rPr>
      </w:pPr>
      <w:r>
        <w:rPr>
          <w:rFonts w:hint="eastAsia" w:ascii="仿宋" w:hAnsi="仿宋" w:eastAsia="仿宋" w:cs="仿宋"/>
          <w:b/>
          <w:color w:val="000000" w:themeColor="text1"/>
          <w:sz w:val="32"/>
          <w:szCs w:val="32"/>
          <w:shd w:val="clear" w:color="auto" w:fill="FFFFFF"/>
          <w:lang w:val="en-US" w:eastAsia="zh-CN"/>
          <w14:textFill>
            <w14:solidFill>
              <w14:schemeClr w14:val="tx1"/>
            </w14:solidFill>
          </w14:textFill>
        </w:rPr>
        <w:t>2.</w:t>
      </w:r>
      <w:r>
        <w:rPr>
          <w:rFonts w:hint="eastAsia" w:ascii="仿宋" w:hAnsi="仿宋" w:eastAsia="仿宋" w:cs="仿宋"/>
          <w:b/>
          <w:color w:val="000000" w:themeColor="text1"/>
          <w:sz w:val="32"/>
          <w:szCs w:val="32"/>
          <w:shd w:val="clear" w:color="auto" w:fill="FFFFFF"/>
          <w14:textFill>
            <w14:solidFill>
              <w14:schemeClr w14:val="tx1"/>
            </w14:solidFill>
          </w14:textFill>
        </w:rPr>
        <w:t>转移支付执行情况说明：</w:t>
      </w:r>
    </w:p>
    <w:p>
      <w:pPr>
        <w:ind w:firstLine="640" w:firstLineChars="200"/>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20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年一般性转移支付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72179</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万元，专项转移支付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38220</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万元，已全部按指标文件要求的用途拨付到预算单位，并专款专用。</w:t>
      </w:r>
    </w:p>
    <w:p>
      <w:pPr>
        <w:jc w:val="left"/>
        <w:rPr>
          <w:rFonts w:hint="eastAsia" w:ascii="仿宋" w:hAnsi="仿宋" w:eastAsia="仿宋" w:cs="仿宋"/>
          <w:b/>
          <w:color w:val="000000"/>
          <w:sz w:val="32"/>
          <w:szCs w:val="32"/>
          <w:shd w:val="clear" w:color="auto" w:fill="FFFFFF"/>
        </w:rPr>
      </w:pPr>
      <w:r>
        <w:rPr>
          <w:rFonts w:hint="eastAsia" w:ascii="仿宋" w:hAnsi="仿宋" w:eastAsia="仿宋" w:cs="仿宋"/>
          <w:b/>
          <w:color w:val="000000"/>
          <w:sz w:val="32"/>
          <w:szCs w:val="32"/>
          <w:shd w:val="clear" w:color="auto" w:fill="FFFFFF"/>
          <w:lang w:val="en-US" w:eastAsia="zh-CN"/>
        </w:rPr>
        <w:t>3.</w:t>
      </w:r>
      <w:r>
        <w:rPr>
          <w:rFonts w:hint="eastAsia" w:ascii="仿宋" w:hAnsi="仿宋" w:eastAsia="仿宋" w:cs="仿宋"/>
          <w:b/>
          <w:color w:val="000000"/>
          <w:sz w:val="32"/>
          <w:szCs w:val="32"/>
          <w:shd w:val="clear" w:color="auto" w:fill="FFFFFF"/>
        </w:rPr>
        <w:t>“三公”经费决算执行情况说明：</w:t>
      </w:r>
    </w:p>
    <w:p>
      <w:pPr>
        <w:jc w:val="left"/>
        <w:rPr>
          <w:rFonts w:ascii="仿宋" w:hAnsi="仿宋" w:eastAsia="仿宋"/>
          <w:sz w:val="32"/>
          <w:szCs w:val="32"/>
        </w:rPr>
      </w:pPr>
      <w:r>
        <w:rPr>
          <w:rFonts w:hint="eastAsia" w:ascii="仿宋" w:hAnsi="仿宋" w:eastAsia="仿宋"/>
          <w:sz w:val="32"/>
          <w:szCs w:val="32"/>
        </w:rPr>
        <w:t>2022年</w:t>
      </w:r>
      <w:r>
        <w:rPr>
          <w:rFonts w:ascii="仿宋" w:hAnsi="仿宋" w:eastAsia="仿宋"/>
          <w:sz w:val="32"/>
          <w:szCs w:val="32"/>
        </w:rPr>
        <w:t>，</w:t>
      </w:r>
      <w:r>
        <w:rPr>
          <w:rFonts w:hint="eastAsia" w:ascii="仿宋" w:hAnsi="仿宋" w:eastAsia="仿宋"/>
          <w:sz w:val="32"/>
          <w:szCs w:val="32"/>
          <w:lang w:val="en-US" w:eastAsia="zh-CN"/>
        </w:rPr>
        <w:t>荷塘区</w:t>
      </w:r>
      <w:r>
        <w:rPr>
          <w:rFonts w:ascii="仿宋" w:hAnsi="仿宋" w:eastAsia="仿宋"/>
          <w:sz w:val="32"/>
          <w:szCs w:val="32"/>
        </w:rPr>
        <w:t>一般公共预算安排的行政事业单位“</w:t>
      </w:r>
      <w:r>
        <w:rPr>
          <w:rFonts w:hint="eastAsia" w:ascii="仿宋" w:hAnsi="仿宋" w:eastAsia="仿宋"/>
          <w:sz w:val="32"/>
          <w:szCs w:val="32"/>
        </w:rPr>
        <w:t>三公</w:t>
      </w:r>
      <w:r>
        <w:rPr>
          <w:rFonts w:ascii="仿宋" w:hAnsi="仿宋" w:eastAsia="仿宋"/>
          <w:sz w:val="32"/>
          <w:szCs w:val="32"/>
        </w:rPr>
        <w:t>”</w:t>
      </w:r>
      <w:r>
        <w:rPr>
          <w:rFonts w:hint="eastAsia" w:ascii="仿宋" w:hAnsi="仿宋" w:eastAsia="仿宋"/>
          <w:sz w:val="32"/>
          <w:szCs w:val="32"/>
        </w:rPr>
        <w:t>经费</w:t>
      </w:r>
      <w:r>
        <w:rPr>
          <w:rFonts w:ascii="仿宋" w:hAnsi="仿宋" w:eastAsia="仿宋"/>
          <w:sz w:val="32"/>
          <w:szCs w:val="32"/>
        </w:rPr>
        <w:t>支出合计</w:t>
      </w:r>
      <w:r>
        <w:rPr>
          <w:rFonts w:hint="eastAsia" w:ascii="仿宋" w:hAnsi="仿宋" w:eastAsia="仿宋"/>
          <w:sz w:val="32"/>
          <w:szCs w:val="32"/>
          <w:lang w:val="en-US" w:eastAsia="zh-CN"/>
        </w:rPr>
        <w:t>122</w:t>
      </w:r>
      <w:r>
        <w:rPr>
          <w:rFonts w:hint="eastAsia" w:ascii="仿宋" w:hAnsi="仿宋" w:eastAsia="仿宋"/>
          <w:sz w:val="32"/>
          <w:szCs w:val="32"/>
        </w:rPr>
        <w:t>万元</w:t>
      </w:r>
      <w:r>
        <w:rPr>
          <w:rFonts w:ascii="仿宋" w:hAnsi="仿宋" w:eastAsia="仿宋"/>
          <w:sz w:val="32"/>
          <w:szCs w:val="32"/>
        </w:rPr>
        <w:t>，比</w:t>
      </w:r>
      <w:r>
        <w:rPr>
          <w:rFonts w:hint="eastAsia" w:ascii="仿宋" w:hAnsi="仿宋" w:eastAsia="仿宋"/>
          <w:sz w:val="32"/>
          <w:szCs w:val="32"/>
        </w:rPr>
        <w:t>全年预算数</w:t>
      </w:r>
      <w:r>
        <w:rPr>
          <w:rFonts w:hint="eastAsia" w:ascii="仿宋" w:hAnsi="仿宋" w:eastAsia="仿宋"/>
          <w:sz w:val="32"/>
          <w:szCs w:val="32"/>
          <w:lang w:val="en-US" w:eastAsia="zh-CN"/>
        </w:rPr>
        <w:t>154</w:t>
      </w:r>
      <w:r>
        <w:rPr>
          <w:rFonts w:hint="eastAsia" w:ascii="仿宋" w:hAnsi="仿宋" w:eastAsia="仿宋"/>
          <w:sz w:val="32"/>
          <w:szCs w:val="32"/>
        </w:rPr>
        <w:t>万元节约</w:t>
      </w:r>
      <w:r>
        <w:rPr>
          <w:rFonts w:hint="eastAsia" w:ascii="仿宋" w:hAnsi="仿宋" w:eastAsia="仿宋"/>
          <w:sz w:val="32"/>
          <w:szCs w:val="32"/>
          <w:lang w:val="en-US" w:eastAsia="zh-CN"/>
        </w:rPr>
        <w:t>32</w:t>
      </w:r>
      <w:r>
        <w:rPr>
          <w:rFonts w:hint="eastAsia" w:ascii="仿宋" w:hAnsi="仿宋" w:eastAsia="仿宋"/>
          <w:sz w:val="32"/>
          <w:szCs w:val="32"/>
        </w:rPr>
        <w:t>万元。其中</w:t>
      </w:r>
      <w:r>
        <w:rPr>
          <w:rFonts w:ascii="仿宋" w:hAnsi="仿宋" w:eastAsia="仿宋"/>
          <w:sz w:val="32"/>
          <w:szCs w:val="32"/>
        </w:rPr>
        <w:t>公务用车购置及运行费</w:t>
      </w:r>
      <w:r>
        <w:rPr>
          <w:rFonts w:hint="eastAsia" w:ascii="仿宋" w:hAnsi="仿宋" w:eastAsia="仿宋"/>
          <w:sz w:val="32"/>
          <w:szCs w:val="32"/>
          <w:lang w:val="en-US" w:eastAsia="zh-CN"/>
        </w:rPr>
        <w:t>111</w:t>
      </w:r>
      <w:r>
        <w:rPr>
          <w:rFonts w:hint="eastAsia" w:ascii="仿宋" w:hAnsi="仿宋" w:eastAsia="仿宋"/>
          <w:sz w:val="32"/>
          <w:szCs w:val="32"/>
        </w:rPr>
        <w:t>万元</w:t>
      </w:r>
      <w:r>
        <w:rPr>
          <w:rFonts w:ascii="仿宋" w:hAnsi="仿宋" w:eastAsia="仿宋"/>
          <w:sz w:val="32"/>
          <w:szCs w:val="32"/>
        </w:rPr>
        <w:t>，比</w:t>
      </w:r>
      <w:r>
        <w:rPr>
          <w:rFonts w:hint="eastAsia" w:ascii="仿宋" w:hAnsi="仿宋" w:eastAsia="仿宋"/>
          <w:sz w:val="32"/>
          <w:szCs w:val="32"/>
        </w:rPr>
        <w:t>全年</w:t>
      </w:r>
      <w:r>
        <w:rPr>
          <w:rFonts w:ascii="仿宋" w:hAnsi="仿宋" w:eastAsia="仿宋"/>
          <w:sz w:val="32"/>
          <w:szCs w:val="32"/>
        </w:rPr>
        <w:t>预算数</w:t>
      </w:r>
      <w:r>
        <w:rPr>
          <w:rFonts w:hint="eastAsia" w:ascii="仿宋" w:hAnsi="仿宋" w:eastAsia="仿宋"/>
          <w:sz w:val="32"/>
          <w:szCs w:val="32"/>
          <w:lang w:val="en-US" w:eastAsia="zh-CN"/>
        </w:rPr>
        <w:t>135</w:t>
      </w:r>
      <w:r>
        <w:rPr>
          <w:rFonts w:hint="eastAsia" w:ascii="仿宋" w:hAnsi="仿宋" w:eastAsia="仿宋"/>
          <w:sz w:val="32"/>
          <w:szCs w:val="32"/>
        </w:rPr>
        <w:t>万元</w:t>
      </w:r>
      <w:r>
        <w:rPr>
          <w:rFonts w:ascii="仿宋" w:hAnsi="仿宋" w:eastAsia="仿宋"/>
          <w:sz w:val="32"/>
          <w:szCs w:val="32"/>
        </w:rPr>
        <w:t>节约</w:t>
      </w:r>
      <w:r>
        <w:rPr>
          <w:rFonts w:hint="eastAsia" w:ascii="仿宋" w:hAnsi="仿宋" w:eastAsia="仿宋"/>
          <w:sz w:val="32"/>
          <w:szCs w:val="32"/>
          <w:lang w:val="en-US" w:eastAsia="zh-CN"/>
        </w:rPr>
        <w:t>24</w:t>
      </w:r>
      <w:r>
        <w:rPr>
          <w:rFonts w:hint="eastAsia" w:ascii="仿宋" w:hAnsi="仿宋" w:eastAsia="仿宋"/>
          <w:sz w:val="32"/>
          <w:szCs w:val="32"/>
        </w:rPr>
        <w:t>万元</w:t>
      </w:r>
      <w:r>
        <w:rPr>
          <w:rFonts w:ascii="仿宋" w:hAnsi="仿宋" w:eastAsia="仿宋"/>
          <w:sz w:val="32"/>
          <w:szCs w:val="32"/>
        </w:rPr>
        <w:t>；公务接待费</w:t>
      </w:r>
      <w:r>
        <w:rPr>
          <w:rFonts w:hint="eastAsia" w:ascii="仿宋" w:hAnsi="仿宋" w:eastAsia="仿宋"/>
          <w:sz w:val="32"/>
          <w:szCs w:val="32"/>
          <w:lang w:val="en-US" w:eastAsia="zh-CN"/>
        </w:rPr>
        <w:t>11</w:t>
      </w:r>
      <w:r>
        <w:rPr>
          <w:rFonts w:hint="eastAsia" w:ascii="仿宋" w:hAnsi="仿宋" w:eastAsia="仿宋"/>
          <w:sz w:val="32"/>
          <w:szCs w:val="32"/>
        </w:rPr>
        <w:t>万</w:t>
      </w:r>
      <w:r>
        <w:rPr>
          <w:rFonts w:ascii="仿宋" w:hAnsi="仿宋" w:eastAsia="仿宋"/>
          <w:sz w:val="32"/>
          <w:szCs w:val="32"/>
        </w:rPr>
        <w:t>元，比</w:t>
      </w:r>
      <w:r>
        <w:rPr>
          <w:rFonts w:hint="eastAsia" w:ascii="仿宋" w:hAnsi="仿宋" w:eastAsia="仿宋"/>
          <w:sz w:val="32"/>
          <w:szCs w:val="32"/>
        </w:rPr>
        <w:t>全年</w:t>
      </w:r>
      <w:r>
        <w:rPr>
          <w:rFonts w:ascii="仿宋" w:hAnsi="仿宋" w:eastAsia="仿宋"/>
          <w:sz w:val="32"/>
          <w:szCs w:val="32"/>
        </w:rPr>
        <w:t>预算数</w:t>
      </w:r>
      <w:r>
        <w:rPr>
          <w:rFonts w:hint="eastAsia" w:ascii="仿宋" w:hAnsi="仿宋" w:eastAsia="仿宋"/>
          <w:sz w:val="32"/>
          <w:szCs w:val="32"/>
          <w:lang w:val="en-US" w:eastAsia="zh-CN"/>
        </w:rPr>
        <w:t>19</w:t>
      </w:r>
      <w:r>
        <w:rPr>
          <w:rFonts w:hint="eastAsia" w:ascii="仿宋" w:hAnsi="仿宋" w:eastAsia="仿宋"/>
          <w:sz w:val="32"/>
          <w:szCs w:val="32"/>
        </w:rPr>
        <w:t>万元节约</w:t>
      </w:r>
      <w:r>
        <w:rPr>
          <w:rFonts w:hint="eastAsia" w:ascii="仿宋" w:hAnsi="仿宋" w:eastAsia="仿宋"/>
          <w:sz w:val="32"/>
          <w:szCs w:val="32"/>
          <w:lang w:val="en-US" w:eastAsia="zh-CN"/>
        </w:rPr>
        <w:t>8</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因</w:t>
      </w:r>
      <w:r>
        <w:rPr>
          <w:rFonts w:ascii="仿宋" w:hAnsi="仿宋" w:eastAsia="仿宋"/>
          <w:sz w:val="32"/>
          <w:szCs w:val="32"/>
        </w:rPr>
        <w:t>公出国</w:t>
      </w:r>
      <w:r>
        <w:rPr>
          <w:rFonts w:hint="eastAsia" w:ascii="仿宋" w:hAnsi="仿宋" w:eastAsia="仿宋"/>
          <w:sz w:val="32"/>
          <w:szCs w:val="32"/>
        </w:rPr>
        <w:t>（境）费0元</w:t>
      </w:r>
      <w:r>
        <w:rPr>
          <w:rFonts w:ascii="仿宋" w:hAnsi="仿宋" w:eastAsia="仿宋"/>
          <w:sz w:val="32"/>
          <w:szCs w:val="32"/>
        </w:rPr>
        <w:t>。</w:t>
      </w:r>
      <w:r>
        <w:rPr>
          <w:rFonts w:hint="eastAsia" w:ascii="仿宋" w:hAnsi="仿宋" w:eastAsia="仿宋"/>
          <w:sz w:val="32"/>
          <w:szCs w:val="32"/>
          <w:lang w:val="en-US" w:eastAsia="zh-CN"/>
        </w:rPr>
        <w:t>我区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严格遵照中央“八项规定”以及省、市、区有关“三公”经费管理办法的规定，带</w:t>
      </w:r>
      <w:r>
        <w:rPr>
          <w:rFonts w:ascii="仿宋" w:hAnsi="仿宋" w:eastAsia="仿宋"/>
          <w:sz w:val="32"/>
          <w:szCs w:val="32"/>
        </w:rPr>
        <w:t>头“</w:t>
      </w:r>
      <w:r>
        <w:rPr>
          <w:rFonts w:hint="eastAsia" w:ascii="仿宋" w:hAnsi="仿宋" w:eastAsia="仿宋"/>
          <w:sz w:val="32"/>
          <w:szCs w:val="32"/>
        </w:rPr>
        <w:t>过</w:t>
      </w:r>
      <w:r>
        <w:rPr>
          <w:rFonts w:ascii="仿宋" w:hAnsi="仿宋" w:eastAsia="仿宋"/>
          <w:sz w:val="32"/>
          <w:szCs w:val="32"/>
        </w:rPr>
        <w:t>紧日子”</w:t>
      </w:r>
      <w:r>
        <w:rPr>
          <w:rFonts w:hint="eastAsia" w:ascii="仿宋" w:hAnsi="仿宋" w:eastAsia="仿宋"/>
          <w:sz w:val="32"/>
          <w:szCs w:val="32"/>
        </w:rPr>
        <w:t>，</w:t>
      </w:r>
      <w:r>
        <w:rPr>
          <w:rFonts w:ascii="仿宋" w:hAnsi="仿宋" w:eastAsia="仿宋"/>
          <w:sz w:val="32"/>
          <w:szCs w:val="32"/>
        </w:rPr>
        <w:t>严控“</w:t>
      </w:r>
      <w:r>
        <w:rPr>
          <w:rFonts w:hint="eastAsia" w:ascii="仿宋" w:hAnsi="仿宋" w:eastAsia="仿宋"/>
          <w:sz w:val="32"/>
          <w:szCs w:val="32"/>
        </w:rPr>
        <w:t>三公</w:t>
      </w:r>
      <w:r>
        <w:rPr>
          <w:rFonts w:ascii="仿宋" w:hAnsi="仿宋" w:eastAsia="仿宋"/>
          <w:sz w:val="32"/>
          <w:szCs w:val="32"/>
        </w:rPr>
        <w:t>”</w:t>
      </w:r>
      <w:r>
        <w:rPr>
          <w:rFonts w:hint="eastAsia" w:ascii="仿宋" w:hAnsi="仿宋" w:eastAsia="仿宋"/>
          <w:sz w:val="32"/>
          <w:szCs w:val="32"/>
        </w:rPr>
        <w:t>开支</w:t>
      </w:r>
      <w:r>
        <w:rPr>
          <w:rFonts w:ascii="仿宋" w:hAnsi="仿宋" w:eastAsia="仿宋"/>
          <w:sz w:val="32"/>
          <w:szCs w:val="32"/>
        </w:rPr>
        <w:t>。</w:t>
      </w:r>
    </w:p>
    <w:p>
      <w:pPr>
        <w:rPr>
          <w:rFonts w:ascii="仿宋" w:hAnsi="仿宋" w:eastAsia="仿宋" w:cs="仿宋"/>
          <w:b/>
          <w:bCs/>
          <w:color w:val="000000"/>
          <w:sz w:val="32"/>
          <w:szCs w:val="32"/>
          <w:shd w:val="clear" w:color="auto" w:fill="FFFFFF"/>
        </w:rPr>
      </w:pPr>
      <w:r>
        <w:rPr>
          <w:rFonts w:hint="eastAsia" w:ascii="仿宋" w:hAnsi="仿宋" w:eastAsia="仿宋"/>
          <w:b/>
          <w:bCs/>
          <w:sz w:val="32"/>
          <w:szCs w:val="32"/>
          <w:lang w:val="en-US" w:eastAsia="zh-CN"/>
        </w:rPr>
        <w:t>4.支出不实金额为0万元。</w:t>
      </w:r>
    </w:p>
    <w:p>
      <w:pPr>
        <w:ind w:left="220" w:hanging="161" w:hangingChars="50"/>
        <w:jc w:val="both"/>
        <w:rPr>
          <w:rFonts w:ascii="黑体" w:hAnsi="黑体" w:eastAsia="黑体"/>
          <w:sz w:val="44"/>
          <w:szCs w:val="44"/>
        </w:rPr>
      </w:pPr>
      <w:r>
        <w:rPr>
          <w:rFonts w:hint="eastAsia" w:ascii="仿宋" w:hAnsi="仿宋" w:eastAsia="仿宋"/>
          <w:b/>
          <w:bCs/>
          <w:sz w:val="32"/>
          <w:szCs w:val="32"/>
          <w:lang w:val="en-US" w:eastAsia="zh-CN"/>
        </w:rPr>
        <w:t>5.关于预算绩效管理工作情况的说明</w:t>
      </w:r>
    </w:p>
    <w:p>
      <w:pPr>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预算绩效目标方面 2022 年，我区要求各部门、单位在编制预算时，应全面设置部门和单位整体绩效目标、专项资金绩效目标、政策及项目绩效目标，我区将绩效目标设置作为预算安排的前置条件，加强绩效目标审核，逐步实现了预算绩效目标报送同级人大审议，将绩效目标与预算同步批复下达。对未按要求设定绩效目标或绩效目标审核未通过的，原则上不予安排预算。</w:t>
      </w:r>
    </w:p>
    <w:p>
      <w:pPr>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 xml:space="preserve">2022 年，我区采取预算单位自行监控和财政重点监控的方式进行双层绩效监控管理。对单位自行监控的项目，预算单位负责开展预算绩效日常监控，围绕绩效目标，适时监控绩效目标实现程度和预算执行情况，及时掌握绩效运行情况、资金支出进度等，并定期对绩效监控信息进行收集、审核、分析、汇总、填报，分析偏离绩效目标的原因，并及时采取纠偏措施；对财政重点监控的项目，财政在预算单位自行监控的基础上，结合预算执行进度、绩效目标完成情况等，通过调查取证、实地核查以及绩效运行信息采集等方式，对预算单位的绩效运行情况进行重点抽查，以发现问题和风险，确保绩效目标的实现及资金的有效使用。 </w:t>
      </w:r>
    </w:p>
    <w:p>
      <w:pPr>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2022 年我区 70 个本级预算单位全部开展了2021年部门整体支出及项目支出绩效自评工作，我局对本级预算部门绩效自评结果实施了抽查，并与 2021 年决算一起进行了网上公开；我局在中介机构的协助下，组织荷塘区教育局、农业农村局、民政局、城市执法和综合执法局、区委组织部等部门开展了部门绩效评价工作，按要求对部门绩效评价结果进行了审核；抽取了部分社会关注度较高和重点的项目委托第三方实施了绩效评价工作，将项目绩效评价结果与项目预算安排挂钩，对评价结果为良以下的项目按比例进行预算调减或进行重点监督管理。</w:t>
      </w:r>
    </w:p>
    <w:p>
      <w:pPr>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评价结果应用，既是开展绩效评价工作的基本前提，又是加强财政支出管理、增强资金绩效理念、合理配置公共资源、优化财政支出结构、强化资金管理水平、提高资金使用效益的重要手段。为使评价结果得到合理应用，我区将事前绩效评估结果作为预算安排的重要参考依据，将绩效目标设置作为预算安排的前置条件，并将绩效目标管理结果用于预算安排，对绩效监控中发现的绩效目标发生偏离和预算执行进度方面的问题以及其他管理漏洞及时采取处置措施予以纠正，建立绩效评价结果与预算安排和政策调整挂钩机制，将项目绩效评价结果与项目预算安排挂钩，将预算绩效结果纳入政府绩效评估或干部政绩考核体系。</w:t>
      </w:r>
    </w:p>
    <w:p>
      <w:pPr>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 xml:space="preserve">存在的问题 1.部分绩效目标设置不太科学由于绩效目标的制定会受政治、经济、社会等多重因素的影响，绩效目标的设置还存在不太科学的情况，绩效指标有的含糊不清，指标值设置不合理，缺乏科学准确的绩效标准，且绩效标准主观性过强、针对性不够，难以进行绩效度量和分析判断，导致绩效目标未能充分体现其项目要求。2.个别项目绩效评价指标设置不合理在绩效评价时，有的项目关注的是投入产出的比值，这种方法的优势在于能从经济角度衡量财政资金是否值得投入，但财政的很多项目并不只关注投入回报比，即对经济效益的要求并不高，而是更加在乎其社会效益和生态效益，这样导致个别评价项目指标设置失效。 3.缺乏完整的指标体系 目前，我区结合区实际情况，已建立了共性绩效指标框架和部分行业领域的核心绩效指标和标准体系，但是仍然缺乏完整的指标体系。 </w:t>
      </w:r>
    </w:p>
    <w:p>
      <w:pPr>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下一步打算 ：（一）强化绩效理念，深入推进评价工作。进一步强化各部门绩效管理理念，将“要我评价”的被动认识转化为“我要评价”的主动实践，把财政绩效评价作为转变政府职能、深化财政改革、促进科学理财的重要工作来抓，健全完善制度办法，切实加强组织领导，深入推进评价工作，提升整体绩效管理水平。 （二）强化事前准备，提升评价质量。在推进自身评价工作开展时，结合评价工作实际，完善项目（部门、单位）评价特性指标，规范评价标准，立足管理需求，预设评价重点，确保绩效评价结果公正、客观、精准，做到评价结果客观公正、实事求是，真实反映绩效，如实反映问题，切实提高评价质量。（三）强化对绩效评价结果的运用。将绩效评价结果作为下一年度部门预算安排的重要依据。根据绩效评价中发现的问题及评价结果，对新一年度延续项目的资金采取重点保障、优先保障、减少安排或取消安排四种方式，切实维护绩效评价的严肃性和有效性。 四、相关建议 建议省、市各上级财政部门积极推进预算绩效标准体系建设，完善项目（部门、单位）评价特性指标，规范评价标准</w:t>
      </w:r>
      <w:bookmarkStart w:id="0" w:name="_GoBack"/>
      <w:bookmarkEnd w:id="0"/>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立足管理需求，预设评价重点，为各市州、部门和单位预算绩效评价提供完善的体系保障和指导。</w:t>
      </w:r>
    </w:p>
    <w:p>
      <w:pPr>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ZGQ3OTk4YWMwMmE1N2YzOGIxY2Y4ZDZlNTNmYmEifQ=="/>
  </w:docVars>
  <w:rsids>
    <w:rsidRoot w:val="00000000"/>
    <w:rsid w:val="27790E83"/>
    <w:rsid w:val="5C2A40C4"/>
    <w:rsid w:val="5CDD73FD"/>
    <w:rsid w:val="7CD73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516</Words>
  <Characters>597</Characters>
  <Lines>0</Lines>
  <Paragraphs>0</Paragraphs>
  <TotalTime>2</TotalTime>
  <ScaleCrop>false</ScaleCrop>
  <LinksUpToDate>false</LinksUpToDate>
  <CharactersWithSpaces>599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2024-06-20T08:53:00Z</dcterms:created>
  <dc:creator>Administrator</dc:creator>
  <cp:lastModifiedBy>穢翼風</cp:lastModifiedBy>
  <dcterms:modified xsi:type="dcterms:W3CDTF">2024-06-20T09:48:07Z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4B2D9997DBE64B9A8932299A9EEA2542_12</vt:lpwstr>
  </property>
</Properties>
</file>