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firstLine="723" w:firstLineChars="200"/>
        <w:jc w:val="center"/>
        <w:rPr>
          <w:rFonts w:hAnsi="宋体" w:cs="宋体"/>
          <w:b/>
          <w:sz w:val="36"/>
          <w:szCs w:val="36"/>
        </w:rPr>
      </w:pPr>
      <w:r>
        <w:rPr>
          <w:rFonts w:hint="eastAsia" w:hAnsi="宋体" w:cs="宋体"/>
          <w:b/>
          <w:sz w:val="36"/>
          <w:szCs w:val="36"/>
        </w:rPr>
        <w:t>攸县医疗保障局</w:t>
      </w:r>
    </w:p>
    <w:p>
      <w:pPr>
        <w:pStyle w:val="2"/>
        <w:spacing w:line="600" w:lineRule="exact"/>
        <w:ind w:firstLine="723" w:firstLineChars="200"/>
        <w:jc w:val="center"/>
        <w:rPr>
          <w:rFonts w:hAnsi="宋体" w:cs="宋体"/>
          <w:b/>
          <w:sz w:val="36"/>
          <w:szCs w:val="36"/>
        </w:rPr>
      </w:pPr>
      <w:r>
        <w:rPr>
          <w:rFonts w:hint="eastAsia" w:hAnsi="宋体" w:cs="宋体"/>
          <w:b/>
          <w:sz w:val="36"/>
          <w:szCs w:val="36"/>
        </w:rPr>
        <w:t>2022年部门整体支出绩效报告</w:t>
      </w:r>
    </w:p>
    <w:p>
      <w:pPr>
        <w:pStyle w:val="2"/>
        <w:spacing w:line="600" w:lineRule="exact"/>
        <w:ind w:firstLine="2250" w:firstLineChars="750"/>
        <w:rPr>
          <w:rFonts w:hAnsi="宋体" w:cs="宋体"/>
          <w:sz w:val="30"/>
          <w:szCs w:val="30"/>
        </w:rPr>
      </w:pP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一、部门（单位）概况</w:t>
      </w:r>
    </w:p>
    <w:p>
      <w:pPr>
        <w:pStyle w:val="2"/>
        <w:spacing w:line="500" w:lineRule="exact"/>
        <w:ind w:firstLine="600" w:firstLineChars="200"/>
        <w:rPr>
          <w:rFonts w:ascii="仿宋" w:hAnsi="仿宋" w:eastAsia="仿宋"/>
          <w:sz w:val="30"/>
          <w:szCs w:val="30"/>
        </w:rPr>
      </w:pPr>
      <w:r>
        <w:rPr>
          <w:rFonts w:ascii="仿宋" w:hAnsi="仿宋" w:eastAsia="仿宋" w:cs="宋体"/>
          <w:sz w:val="30"/>
          <w:szCs w:val="30"/>
        </w:rPr>
        <w:t>（一）机构组成：</w:t>
      </w:r>
      <w:r>
        <w:rPr>
          <w:rFonts w:hint="eastAsia" w:ascii="仿宋" w:hAnsi="仿宋" w:eastAsia="仿宋"/>
          <w:sz w:val="30"/>
          <w:szCs w:val="30"/>
        </w:rPr>
        <w:t>攸县医疗保障局是攸县人民政府工作部门，主管全县医疗保障工作的正科级行政机关，属一级预算单位。下设三</w:t>
      </w:r>
      <w:r>
        <w:rPr>
          <w:rFonts w:hint="eastAsia" w:ascii="仿宋" w:hAnsi="仿宋" w:eastAsia="仿宋" w:cs="Times New Roman"/>
          <w:sz w:val="30"/>
          <w:szCs w:val="30"/>
        </w:rPr>
        <w:t>个股室和一个二级事业单位，</w:t>
      </w:r>
      <w:r>
        <w:rPr>
          <w:rFonts w:hint="eastAsia" w:ascii="仿宋" w:hAnsi="仿宋" w:eastAsia="仿宋"/>
          <w:sz w:val="30"/>
          <w:szCs w:val="30"/>
        </w:rPr>
        <w:t>即：办公室、医药管理股、基金财务股和攸县医疗保障事务中心。</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（二）机构职能：</w:t>
      </w:r>
      <w:r>
        <w:rPr>
          <w:rFonts w:hint="eastAsia" w:ascii="仿宋" w:hAnsi="仿宋" w:eastAsia="仿宋"/>
          <w:sz w:val="30"/>
          <w:szCs w:val="30"/>
        </w:rPr>
        <w:t>本部门主要职责是：1、拟定全县医疗保障制度的政策、规划和标准，并组织实施；2、强化医疗保障基金管理，建立健全医疗保障基金安全防控机制，推进医疗保障基金支付方式改革；3、组织制定并监督、指导全县医疗保障筹资和待遇政策，完善动态调整机制，建立健全与筹资水平相适应的待遇调整机制，组织拟订并实施长期护理保险制度改革方案；4、贯彻落实全省城乡统一的药品、医用耗材、医疗服务项目、医疗服务设施等医保目录和支付标准，按照动态调整机制和医保目录准入谈判规则，及时组织实施；5、贯彻落实全省上药品、医用耍笔杆的价格和医疗服务项目、医疗服务设施收费等政策，协助建立市场主导的社会医药服务价格形成机制，执行全省价格信息检测和信息发布制度；6、贯彻落实全省药品、医用耗材的招标采购政策并监督实施，加强药品和医疗服务价格监督管理；7、制定全县定点医药机构协议和支付管理办法并组织实施，建立健全医疗保障信用评价体系和信息披露制度，监督管理纳入医保范围内的医疗服务行为和医疗费用，依法查处医疗保障领域违法违规行为；8、负责全县医疗保障经办管理、公共服务体系和信息化建设，指导和监督全县医疗保障经办业务工作。完善异地就医管理和费用结算机制，建立健全医疗保障关系转移接续制度；9、做好医疗保障相关政策的宣传和人员培训等工作；10、会同相关部门做好全县医保参保缴费等相关工作；11、会同卫</w:t>
      </w:r>
      <w:r>
        <w:rPr>
          <w:rFonts w:hint="eastAsia" w:ascii="仿宋" w:hAnsi="仿宋" w:eastAsia="仿宋"/>
          <w:sz w:val="30"/>
          <w:szCs w:val="30"/>
          <w:lang w:eastAsia="zh-CN"/>
        </w:rPr>
        <w:t>健</w:t>
      </w:r>
      <w:r>
        <w:rPr>
          <w:rFonts w:hint="eastAsia" w:ascii="仿宋" w:hAnsi="仿宋" w:eastAsia="仿宋"/>
          <w:sz w:val="30"/>
          <w:szCs w:val="30"/>
        </w:rPr>
        <w:t>局等部门推进医疗、医保、医药等方面加强制度、政策衔接，建立沟通协商机制，提高医疗资源使用效率和医疗保障水</w:t>
      </w:r>
      <w:bookmarkStart w:id="0" w:name="_GoBack"/>
      <w:bookmarkEnd w:id="0"/>
      <w:r>
        <w:rPr>
          <w:rFonts w:hint="eastAsia" w:ascii="仿宋" w:hAnsi="仿宋" w:eastAsia="仿宋"/>
          <w:sz w:val="30"/>
          <w:szCs w:val="30"/>
        </w:rPr>
        <w:t>平 ，为患者提供安全、有效、低廉的医疗服务；12、完成县委、县政府交办的其他任务。13、职能转变。攸县医疗保障局应完善统一城乡居民基本医疗保障制度和大病保险制度，巩固完善城乡居民医疗救助制度，建立健全覆盖全民、城乡统筹的多层次医疗保障体系，不断提高医疗保障水平，确保医保资金合理使用、安全可控，推进医疗、医保、医药“三医联动”改革，更好保障人民群众就医需求、减轻医药费用负担。</w:t>
      </w:r>
    </w:p>
    <w:p>
      <w:pPr>
        <w:tabs>
          <w:tab w:val="left" w:pos="20"/>
        </w:tabs>
        <w:spacing w:line="500" w:lineRule="exact"/>
        <w:ind w:firstLine="600" w:firstLineChars="200"/>
        <w:rPr>
          <w:rFonts w:ascii="仿宋" w:hAnsi="仿宋" w:eastAsia="仿宋" w:cs="方正书宋简体"/>
          <w:sz w:val="30"/>
          <w:szCs w:val="30"/>
        </w:rPr>
      </w:pPr>
      <w:r>
        <w:rPr>
          <w:rFonts w:ascii="仿宋" w:hAnsi="仿宋" w:eastAsia="仿宋" w:cs="宋体"/>
          <w:sz w:val="30"/>
          <w:szCs w:val="30"/>
        </w:rPr>
        <w:t>（</w:t>
      </w:r>
      <w:r>
        <w:rPr>
          <w:rFonts w:ascii="仿宋" w:hAnsi="仿宋" w:eastAsia="仿宋" w:cs="方正书宋简体"/>
          <w:sz w:val="30"/>
          <w:szCs w:val="30"/>
        </w:rPr>
        <w:t>三）人员概况：</w:t>
      </w:r>
      <w:r>
        <w:rPr>
          <w:rFonts w:hint="eastAsia" w:ascii="仿宋" w:hAnsi="仿宋" w:eastAsia="仿宋" w:cs="方正书宋简体"/>
          <w:sz w:val="30"/>
          <w:szCs w:val="30"/>
        </w:rPr>
        <w:t>医保局现有</w:t>
      </w:r>
      <w:r>
        <w:rPr>
          <w:rFonts w:hint="eastAsia" w:ascii="仿宋" w:hAnsi="仿宋" w:eastAsia="仿宋" w:cs="Times New Roman"/>
          <w:sz w:val="30"/>
          <w:szCs w:val="30"/>
        </w:rPr>
        <w:t>在职人员</w:t>
      </w:r>
      <w:r>
        <w:rPr>
          <w:rFonts w:hint="eastAsia" w:ascii="仿宋" w:hAnsi="仿宋" w:eastAsia="仿宋"/>
          <w:sz w:val="30"/>
          <w:szCs w:val="30"/>
        </w:rPr>
        <w:t>36</w:t>
      </w:r>
      <w:r>
        <w:rPr>
          <w:rFonts w:hint="eastAsia" w:ascii="仿宋" w:hAnsi="仿宋" w:eastAsia="仿宋" w:cs="Times New Roman"/>
          <w:sz w:val="30"/>
          <w:szCs w:val="30"/>
        </w:rPr>
        <w:t>人，</w:t>
      </w:r>
      <w:r>
        <w:rPr>
          <w:rFonts w:hint="eastAsia" w:ascii="仿宋" w:hAnsi="仿宋" w:eastAsia="仿宋"/>
          <w:sz w:val="30"/>
          <w:szCs w:val="30"/>
        </w:rPr>
        <w:t>退休人员3人，</w:t>
      </w:r>
      <w:r>
        <w:rPr>
          <w:rFonts w:hint="eastAsia" w:ascii="仿宋" w:hAnsi="仿宋" w:eastAsia="仿宋" w:cs="Times New Roman"/>
          <w:sz w:val="30"/>
          <w:szCs w:val="30"/>
        </w:rPr>
        <w:t>临聘人员7人，</w:t>
      </w:r>
      <w:r>
        <w:rPr>
          <w:rFonts w:hint="eastAsia" w:ascii="仿宋" w:hAnsi="仿宋" w:eastAsia="仿宋"/>
          <w:sz w:val="30"/>
          <w:szCs w:val="30"/>
        </w:rPr>
        <w:t>借用2人</w:t>
      </w:r>
      <w:r>
        <w:rPr>
          <w:rFonts w:hint="eastAsia" w:ascii="仿宋" w:hAnsi="仿宋" w:eastAsia="仿宋" w:cs="Times New Roman"/>
          <w:sz w:val="30"/>
          <w:szCs w:val="30"/>
        </w:rPr>
        <w:t>。</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二、财政资金收支情况</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（一）收入预算情况</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2022年预算收入510.79万元，2022年实际收入510.79万元，其中：年初预算391万元，年中追加119.79万元。</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（二）支出预算情况</w:t>
      </w:r>
    </w:p>
    <w:p>
      <w:pPr>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2022年支出预算510.79万元。2022年度实际支出为510.79万元，其中：基本支出448.79万元，项目支出62万元。</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三、财政支出管理情况</w:t>
      </w:r>
    </w:p>
    <w:p>
      <w:pPr>
        <w:spacing w:line="500" w:lineRule="exact"/>
        <w:ind w:firstLine="900" w:firstLineChars="300"/>
        <w:rPr>
          <w:rFonts w:ascii="仿宋" w:hAnsi="仿宋" w:eastAsia="仿宋" w:cs="宋体"/>
          <w:sz w:val="30"/>
          <w:szCs w:val="30"/>
        </w:rPr>
      </w:pPr>
      <w:r>
        <w:rPr>
          <w:rFonts w:ascii="仿宋" w:hAnsi="仿宋" w:eastAsia="仿宋" w:cs="宋体"/>
          <w:sz w:val="30"/>
          <w:szCs w:val="30"/>
        </w:rPr>
        <w:t>（一）预算编制情况。</w:t>
      </w:r>
      <w:r>
        <w:rPr>
          <w:rFonts w:hint="eastAsia" w:ascii="仿宋" w:hAnsi="仿宋" w:eastAsia="仿宋" w:cs="宋体"/>
          <w:sz w:val="30"/>
          <w:szCs w:val="30"/>
        </w:rPr>
        <w:t>本单位严格按照《预算法》及</w:t>
      </w:r>
      <w:r>
        <w:rPr>
          <w:rFonts w:hint="eastAsia" w:ascii="仿宋" w:hAnsi="仿宋" w:eastAsia="仿宋" w:cs="宋体"/>
          <w:color w:val="000000"/>
          <w:sz w:val="30"/>
          <w:szCs w:val="30"/>
          <w:shd w:val="clear" w:color="auto" w:fill="FFFFFF"/>
        </w:rPr>
        <w:t>县财政局2022年部门预算编制通知要求，按时完成部门年初预算编制工作。在编制过程中，认真核实单位实际财政供养人数和单位实有编制情况，正确编制人员经费和公用经费等，认真填报绩效目标，尽量细化资金支出预算范围和科目，</w:t>
      </w:r>
      <w:r>
        <w:rPr>
          <w:rFonts w:hint="eastAsia" w:ascii="仿宋" w:hAnsi="仿宋" w:eastAsia="仿宋" w:cs="宋体"/>
          <w:sz w:val="30"/>
          <w:szCs w:val="30"/>
        </w:rPr>
        <w:t>全部收入和支出都反映在预决算中</w:t>
      </w:r>
      <w:r>
        <w:rPr>
          <w:rFonts w:hint="eastAsia" w:ascii="仿宋" w:hAnsi="仿宋" w:eastAsia="仿宋" w:cs="宋体"/>
          <w:color w:val="000000"/>
          <w:sz w:val="30"/>
          <w:szCs w:val="30"/>
          <w:shd w:val="clear" w:color="auto" w:fill="FFFFFF"/>
        </w:rPr>
        <w:t>。</w:t>
      </w:r>
    </w:p>
    <w:p>
      <w:pPr>
        <w:spacing w:line="500" w:lineRule="exact"/>
        <w:ind w:firstLine="600" w:firstLineChars="200"/>
        <w:rPr>
          <w:rFonts w:ascii="仿宋" w:hAnsi="仿宋" w:eastAsia="仿宋" w:cs="宋体"/>
          <w:sz w:val="30"/>
          <w:szCs w:val="30"/>
        </w:rPr>
      </w:pPr>
      <w:r>
        <w:rPr>
          <w:rFonts w:ascii="仿宋" w:hAnsi="仿宋" w:eastAsia="仿宋" w:cs="宋体"/>
          <w:sz w:val="30"/>
          <w:szCs w:val="30"/>
        </w:rPr>
        <w:t>（二）执行管理情况。</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1．基本支出：</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2022年全年基本支出</w:t>
      </w:r>
      <w:r>
        <w:rPr>
          <w:rFonts w:hint="eastAsia" w:ascii="仿宋" w:hAnsi="仿宋" w:eastAsia="仿宋"/>
          <w:sz w:val="30"/>
          <w:szCs w:val="30"/>
        </w:rPr>
        <w:t>448.79</w:t>
      </w:r>
      <w:r>
        <w:rPr>
          <w:rFonts w:hint="eastAsia" w:ascii="仿宋" w:hAnsi="仿宋" w:eastAsia="仿宋" w:cs="Times New Roman"/>
          <w:sz w:val="30"/>
          <w:szCs w:val="30"/>
        </w:rPr>
        <w:t>万元，其中工资福利支出400.38万元，主要包括：基本工资、津贴补贴、社会保障缴费、伙食补助费、绩效工资、基本养老保险、职业年金等；商品和服务支出</w:t>
      </w:r>
      <w:r>
        <w:rPr>
          <w:rFonts w:hint="eastAsia" w:ascii="仿宋" w:hAnsi="仿宋" w:eastAsia="仿宋"/>
          <w:sz w:val="30"/>
          <w:szCs w:val="30"/>
        </w:rPr>
        <w:t>38.26</w:t>
      </w:r>
      <w:r>
        <w:rPr>
          <w:rFonts w:hint="eastAsia" w:ascii="仿宋" w:hAnsi="仿宋" w:eastAsia="仿宋" w:cs="Times New Roman"/>
          <w:sz w:val="30"/>
          <w:szCs w:val="30"/>
        </w:rPr>
        <w:t>万元，主要包括：办公费、邮电费、差旅费、维修（护）费、培训费、工会经费、福利费、其他交通费用、其他商品和服务支出等；对个人和家庭的补助</w:t>
      </w:r>
      <w:r>
        <w:rPr>
          <w:rFonts w:hint="eastAsia" w:ascii="仿宋" w:hAnsi="仿宋" w:eastAsia="仿宋"/>
          <w:sz w:val="30"/>
          <w:szCs w:val="30"/>
        </w:rPr>
        <w:t>7.57</w:t>
      </w:r>
      <w:r>
        <w:rPr>
          <w:rFonts w:hint="eastAsia" w:ascii="仿宋" w:hAnsi="仿宋" w:eastAsia="仿宋" w:cs="Times New Roman"/>
          <w:sz w:val="30"/>
          <w:szCs w:val="30"/>
        </w:rPr>
        <w:t>万元，主要包括：生活补助、奖励金、其他个人家庭补助；其他资金性支出</w:t>
      </w:r>
      <w:r>
        <w:rPr>
          <w:rFonts w:hint="eastAsia" w:ascii="仿宋" w:hAnsi="仿宋" w:eastAsia="仿宋"/>
          <w:sz w:val="30"/>
          <w:szCs w:val="30"/>
        </w:rPr>
        <w:t>2.58万元，主要是办公设备购置</w:t>
      </w:r>
      <w:r>
        <w:rPr>
          <w:rFonts w:hint="eastAsia" w:ascii="仿宋" w:hAnsi="仿宋" w:eastAsia="仿宋" w:cs="Times New Roman"/>
          <w:sz w:val="30"/>
          <w:szCs w:val="30"/>
        </w:rPr>
        <w:t>。</w:t>
      </w:r>
    </w:p>
    <w:p>
      <w:pPr>
        <w:spacing w:line="460" w:lineRule="exact"/>
        <w:ind w:firstLine="600" w:firstLineChars="200"/>
        <w:rPr>
          <w:rFonts w:ascii="仿宋" w:hAnsi="仿宋" w:eastAsia="仿宋"/>
          <w:sz w:val="30"/>
          <w:szCs w:val="30"/>
        </w:rPr>
      </w:pPr>
      <w:r>
        <w:rPr>
          <w:rFonts w:hint="eastAsia" w:ascii="仿宋" w:hAnsi="仿宋" w:eastAsia="仿宋"/>
          <w:sz w:val="30"/>
          <w:szCs w:val="30"/>
        </w:rPr>
        <w:t>2．项目支出；</w:t>
      </w:r>
    </w:p>
    <w:p>
      <w:pPr>
        <w:spacing w:line="360" w:lineRule="auto"/>
        <w:ind w:firstLine="600" w:firstLineChars="200"/>
        <w:rPr>
          <w:rFonts w:ascii="仿宋" w:hAnsi="仿宋" w:eastAsia="仿宋"/>
          <w:sz w:val="30"/>
          <w:szCs w:val="30"/>
        </w:rPr>
      </w:pPr>
      <w:r>
        <w:rPr>
          <w:rFonts w:hint="eastAsia" w:ascii="仿宋" w:hAnsi="仿宋" w:eastAsia="仿宋"/>
          <w:sz w:val="30"/>
          <w:szCs w:val="30"/>
        </w:rPr>
        <w:t>2022年全年项目支出62万元,主要包括：基金审计、印刷费、宣传费、飞检、交叉检查差旅费等。</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3．“三公”经费支出情况：</w:t>
      </w:r>
    </w:p>
    <w:p>
      <w:pPr>
        <w:spacing w:line="500" w:lineRule="exact"/>
        <w:ind w:firstLine="600" w:firstLineChars="200"/>
        <w:rPr>
          <w:rFonts w:ascii="仿宋" w:hAnsi="仿宋" w:eastAsia="仿宋" w:cs="Times New Roman"/>
          <w:sz w:val="30"/>
          <w:szCs w:val="30"/>
        </w:rPr>
      </w:pPr>
      <w:r>
        <w:rPr>
          <w:rFonts w:hint="eastAsia" w:ascii="仿宋" w:hAnsi="仿宋" w:eastAsia="仿宋" w:cs="宋体"/>
          <w:color w:val="000000"/>
          <w:sz w:val="30"/>
          <w:szCs w:val="30"/>
        </w:rPr>
        <w:t>2022年我局严格执行中央八项规定和省、市、县有关财务规定，着力控制“三公”经费预算支出。</w:t>
      </w:r>
      <w:r>
        <w:rPr>
          <w:rFonts w:hint="eastAsia" w:ascii="仿宋" w:hAnsi="仿宋" w:eastAsia="仿宋" w:cs="宋体"/>
          <w:color w:val="000000"/>
          <w:sz w:val="30"/>
          <w:szCs w:val="30"/>
          <w:shd w:val="clear" w:color="auto" w:fill="FFFFFF"/>
        </w:rPr>
        <w:t>全年无因公出国（境）费用。2022年“三公”经费预算数1万元，</w:t>
      </w:r>
      <w:r>
        <w:rPr>
          <w:rFonts w:hint="eastAsia" w:ascii="仿宋" w:hAnsi="仿宋" w:eastAsia="仿宋" w:cs="宋体"/>
          <w:sz w:val="30"/>
          <w:szCs w:val="30"/>
        </w:rPr>
        <w:t>2022年“三公”经费决算数0.48元，与去年同期增加0.23万元。</w:t>
      </w:r>
      <w:r>
        <w:rPr>
          <w:rFonts w:hint="eastAsia" w:ascii="仿宋" w:hAnsi="仿宋" w:eastAsia="仿宋" w:cs="Times New Roman"/>
          <w:sz w:val="30"/>
          <w:szCs w:val="30"/>
        </w:rPr>
        <w:t>其中：公务接待费0.48万元，公车运行维护费0万元。</w:t>
      </w:r>
    </w:p>
    <w:p>
      <w:pPr>
        <w:pStyle w:val="2"/>
        <w:spacing w:line="500" w:lineRule="exact"/>
        <w:ind w:firstLine="600" w:firstLineChars="200"/>
        <w:rPr>
          <w:rFonts w:ascii="仿宋" w:hAnsi="仿宋" w:eastAsia="仿宋" w:cs="宋体"/>
          <w:sz w:val="30"/>
          <w:szCs w:val="30"/>
        </w:rPr>
      </w:pPr>
      <w:r>
        <w:rPr>
          <w:rFonts w:ascii="仿宋" w:hAnsi="仿宋" w:eastAsia="仿宋" w:cs="宋体"/>
          <w:sz w:val="30"/>
          <w:szCs w:val="30"/>
        </w:rPr>
        <w:t>（三）综合管理情况。</w:t>
      </w:r>
    </w:p>
    <w:p>
      <w:pPr>
        <w:shd w:val="clear" w:color="auto" w:fill="FFFFFF"/>
        <w:spacing w:line="500" w:lineRule="exact"/>
        <w:ind w:firstLine="600" w:firstLineChars="200"/>
        <w:rPr>
          <w:rFonts w:ascii="仿宋" w:hAnsi="仿宋" w:eastAsia="仿宋" w:cs="宋体"/>
          <w:color w:val="000000"/>
          <w:sz w:val="30"/>
          <w:szCs w:val="30"/>
          <w:shd w:val="clear" w:color="auto" w:fill="FFFFFF"/>
        </w:rPr>
      </w:pPr>
      <w:r>
        <w:rPr>
          <w:rFonts w:hint="eastAsia" w:ascii="仿宋" w:hAnsi="仿宋" w:eastAsia="仿宋" w:cs="Times New Roman"/>
          <w:sz w:val="30"/>
          <w:szCs w:val="30"/>
        </w:rPr>
        <w:t>加强和完善了单位内部审计制度，严格执行了国库集中支付、政府采购等有关规定，确保了支出管理流程、审批手续的完整，杜绝违规违法事件的发生。</w:t>
      </w:r>
    </w:p>
    <w:p>
      <w:pPr>
        <w:spacing w:line="500" w:lineRule="exact"/>
        <w:ind w:firstLine="600" w:firstLineChars="200"/>
        <w:rPr>
          <w:rFonts w:ascii="仿宋" w:hAnsi="仿宋" w:eastAsia="仿宋" w:cs="宋体"/>
          <w:sz w:val="30"/>
          <w:szCs w:val="30"/>
        </w:rPr>
      </w:pPr>
      <w:r>
        <w:rPr>
          <w:rFonts w:ascii="仿宋" w:hAnsi="仿宋" w:eastAsia="仿宋" w:cs="宋体"/>
          <w:sz w:val="30"/>
          <w:szCs w:val="30"/>
        </w:rPr>
        <w:t>（四）整体绩效。</w:t>
      </w:r>
    </w:p>
    <w:p>
      <w:pPr>
        <w:spacing w:line="600" w:lineRule="exact"/>
        <w:ind w:firstLine="640" w:firstLineChars="200"/>
        <w:rPr>
          <w:rFonts w:ascii="仿宋" w:hAnsi="仿宋" w:eastAsia="仿宋" w:cs="Times New Roman"/>
          <w:color w:val="000000" w:themeColor="text1"/>
          <w:sz w:val="32"/>
          <w:szCs w:val="32"/>
        </w:rPr>
      </w:pPr>
      <w:r>
        <w:rPr>
          <w:rFonts w:hint="eastAsia" w:ascii="仿宋" w:hAnsi="仿宋" w:eastAsia="仿宋" w:cs="Times New Roman"/>
          <w:bCs/>
          <w:color w:val="000000" w:themeColor="text1"/>
          <w:sz w:val="32"/>
          <w:szCs w:val="32"/>
        </w:rPr>
        <w:t>1、</w:t>
      </w:r>
      <w:r>
        <w:rPr>
          <w:rFonts w:ascii="仿宋" w:hAnsi="仿宋" w:eastAsia="仿宋" w:cs="Times New Roman"/>
          <w:bCs/>
          <w:color w:val="000000" w:themeColor="text1"/>
          <w:sz w:val="32"/>
          <w:szCs w:val="32"/>
        </w:rPr>
        <w:t>全面保障参保患者医疗待遇。</w:t>
      </w:r>
      <w:r>
        <w:rPr>
          <w:rFonts w:ascii="仿宋" w:hAnsi="仿宋" w:eastAsia="仿宋" w:cs="Times New Roman"/>
          <w:color w:val="000000" w:themeColor="text1"/>
          <w:sz w:val="32"/>
          <w:szCs w:val="32"/>
        </w:rPr>
        <w:t>强化三重保障功能，建立以基本医疗保险为基础、大病保险为补充、医疗救助为托底的多层次医疗保障制度体系，执行全省统一医保待遇清单制度。2022年城乡居民医保参保缴费570441人，预计收入5.31亿元；职工参保55382人，预计收入1.45亿元。截止10月31日（下同），城乡居民共有57.58万人次享受医保待遇，基本医保基金支出4.46亿元、大病保险支出3047.68万元、医疗救助支出1839.16万元；职工共有46.9万人次享受医保待遇，基金支出9423.55万元、个人账户支出5497.29万元。</w:t>
      </w:r>
    </w:p>
    <w:p>
      <w:pPr>
        <w:pStyle w:val="11"/>
        <w:spacing w:line="600" w:lineRule="exact"/>
        <w:ind w:firstLine="640" w:firstLineChars="200"/>
        <w:rPr>
          <w:rFonts w:ascii="仿宋" w:hAnsi="仿宋" w:eastAsia="仿宋"/>
          <w:color w:val="000000" w:themeColor="text1"/>
          <w:sz w:val="32"/>
          <w:szCs w:val="32"/>
        </w:rPr>
      </w:pPr>
      <w:r>
        <w:rPr>
          <w:rFonts w:hint="eastAsia" w:ascii="仿宋" w:hAnsi="仿宋" w:eastAsia="仿宋"/>
          <w:bCs/>
          <w:color w:val="000000" w:themeColor="text1"/>
          <w:kern w:val="2"/>
          <w:sz w:val="32"/>
          <w:szCs w:val="32"/>
        </w:rPr>
        <w:t>2、</w:t>
      </w:r>
      <w:r>
        <w:rPr>
          <w:rFonts w:ascii="仿宋" w:hAnsi="仿宋" w:eastAsia="仿宋"/>
          <w:bCs/>
          <w:color w:val="000000" w:themeColor="text1"/>
          <w:kern w:val="2"/>
          <w:sz w:val="32"/>
          <w:szCs w:val="32"/>
        </w:rPr>
        <w:t>做好省、市重点民生实事。</w:t>
      </w:r>
      <w:r>
        <w:rPr>
          <w:rFonts w:ascii="仿宋" w:hAnsi="仿宋" w:eastAsia="仿宋"/>
          <w:color w:val="000000" w:themeColor="text1"/>
          <w:sz w:val="32"/>
          <w:szCs w:val="32"/>
        </w:rPr>
        <w:t>2022年城乡居民“两病”门诊用药保障和普通门诊医疗费用跨省直接结算纳入省、市重点民生实事，全年“两病”用药保障和定点医疗机构普通门诊跨省结算目标任务分别为45000人次、至少1家。截止10月底，实际完成61433人次，完成目标任务数的136.52%。现已有14家定点医院实现普通门诊医疗费用跨省直接结算，其中2家县级医院同时开通慢特病医疗费用跨省直接结算。</w:t>
      </w:r>
    </w:p>
    <w:p>
      <w:pPr>
        <w:pStyle w:val="11"/>
        <w:spacing w:line="600" w:lineRule="exact"/>
        <w:ind w:firstLine="640" w:firstLineChars="200"/>
        <w:rPr>
          <w:rFonts w:ascii="仿宋" w:hAnsi="仿宋" w:eastAsia="仿宋"/>
          <w:color w:val="000000" w:themeColor="text1"/>
          <w:sz w:val="32"/>
          <w:szCs w:val="32"/>
        </w:rPr>
      </w:pPr>
      <w:r>
        <w:rPr>
          <w:rFonts w:hint="eastAsia" w:ascii="仿宋" w:hAnsi="仿宋" w:eastAsia="仿宋"/>
          <w:bCs/>
          <w:color w:val="000000" w:themeColor="text1"/>
          <w:kern w:val="2"/>
          <w:sz w:val="32"/>
          <w:szCs w:val="32"/>
        </w:rPr>
        <w:t>3、</w:t>
      </w:r>
      <w:r>
        <w:rPr>
          <w:rFonts w:ascii="仿宋" w:hAnsi="仿宋" w:eastAsia="仿宋"/>
          <w:bCs/>
          <w:color w:val="000000" w:themeColor="text1"/>
          <w:kern w:val="2"/>
          <w:sz w:val="32"/>
          <w:szCs w:val="32"/>
        </w:rPr>
        <w:t>扎实开展医药集中带量采购。</w:t>
      </w:r>
      <w:r>
        <w:rPr>
          <w:rFonts w:hint="eastAsia" w:ascii="仿宋" w:hAnsi="仿宋" w:eastAsia="仿宋"/>
          <w:color w:val="000000" w:themeColor="text1"/>
          <w:sz w:val="32"/>
          <w:szCs w:val="32"/>
        </w:rPr>
        <w:t>组织指导</w:t>
      </w:r>
      <w:r>
        <w:rPr>
          <w:rFonts w:ascii="仿宋" w:hAnsi="仿宋" w:eastAsia="仿宋"/>
          <w:color w:val="000000" w:themeColor="text1"/>
          <w:sz w:val="32"/>
          <w:szCs w:val="32"/>
        </w:rPr>
        <w:t>医疗机构</w:t>
      </w:r>
      <w:r>
        <w:rPr>
          <w:rFonts w:hint="eastAsia" w:ascii="仿宋" w:hAnsi="仿宋" w:eastAsia="仿宋"/>
          <w:color w:val="000000" w:themeColor="text1"/>
          <w:sz w:val="32"/>
          <w:szCs w:val="32"/>
        </w:rPr>
        <w:t>开展</w:t>
      </w:r>
      <w:r>
        <w:rPr>
          <w:rFonts w:ascii="仿宋" w:hAnsi="仿宋" w:eastAsia="仿宋"/>
          <w:color w:val="000000" w:themeColor="text1"/>
          <w:sz w:val="32"/>
          <w:szCs w:val="32"/>
        </w:rPr>
        <w:t>1-7批次药品、耗材等申报采购，</w:t>
      </w:r>
      <w:r>
        <w:rPr>
          <w:rFonts w:hint="eastAsia" w:ascii="仿宋" w:hAnsi="仿宋" w:eastAsia="仿宋"/>
          <w:color w:val="000000" w:themeColor="text1"/>
          <w:sz w:val="32"/>
          <w:szCs w:val="32"/>
        </w:rPr>
        <w:t>完成</w:t>
      </w:r>
      <w:r>
        <w:rPr>
          <w:rFonts w:ascii="仿宋" w:hAnsi="仿宋" w:eastAsia="仿宋"/>
          <w:color w:val="000000" w:themeColor="text1"/>
          <w:sz w:val="32"/>
          <w:szCs w:val="32"/>
        </w:rPr>
        <w:t>在线结算，并</w:t>
      </w:r>
      <w:r>
        <w:rPr>
          <w:rFonts w:hint="eastAsia" w:ascii="仿宋" w:hAnsi="仿宋" w:eastAsia="仿宋"/>
          <w:color w:val="000000" w:themeColor="text1"/>
          <w:sz w:val="32"/>
          <w:szCs w:val="32"/>
        </w:rPr>
        <w:t>对22家医疗机构</w:t>
      </w:r>
      <w:r>
        <w:rPr>
          <w:rFonts w:ascii="仿宋" w:hAnsi="仿宋" w:eastAsia="仿宋"/>
          <w:color w:val="000000" w:themeColor="text1"/>
          <w:sz w:val="32"/>
          <w:szCs w:val="32"/>
        </w:rPr>
        <w:t>第二批次</w:t>
      </w:r>
      <w:r>
        <w:rPr>
          <w:rFonts w:hint="eastAsia" w:ascii="仿宋" w:hAnsi="仿宋" w:eastAsia="仿宋"/>
          <w:color w:val="000000" w:themeColor="text1"/>
          <w:sz w:val="32"/>
          <w:szCs w:val="32"/>
        </w:rPr>
        <w:t>带量采购结余留用进行考核，考核</w:t>
      </w:r>
      <w:r>
        <w:rPr>
          <w:rFonts w:ascii="仿宋" w:hAnsi="仿宋" w:eastAsia="仿宋"/>
          <w:color w:val="000000" w:themeColor="text1"/>
          <w:sz w:val="32"/>
          <w:szCs w:val="32"/>
        </w:rPr>
        <w:t>资金4.7</w:t>
      </w:r>
      <w:r>
        <w:rPr>
          <w:rFonts w:hint="eastAsia" w:ascii="仿宋" w:hAnsi="仿宋" w:eastAsia="仿宋"/>
          <w:color w:val="000000" w:themeColor="text1"/>
          <w:sz w:val="32"/>
          <w:szCs w:val="32"/>
        </w:rPr>
        <w:t>1</w:t>
      </w:r>
      <w:r>
        <w:rPr>
          <w:rFonts w:ascii="仿宋" w:hAnsi="仿宋" w:eastAsia="仿宋"/>
          <w:color w:val="000000" w:themeColor="text1"/>
          <w:sz w:val="32"/>
          <w:szCs w:val="32"/>
        </w:rPr>
        <w:t>万元。</w:t>
      </w:r>
    </w:p>
    <w:p>
      <w:pPr>
        <w:pStyle w:val="11"/>
        <w:spacing w:line="600" w:lineRule="exact"/>
        <w:ind w:firstLine="640" w:firstLineChars="200"/>
        <w:rPr>
          <w:rFonts w:ascii="仿宋" w:hAnsi="仿宋" w:eastAsia="仿宋"/>
          <w:color w:val="000000" w:themeColor="text1"/>
          <w:sz w:val="32"/>
          <w:szCs w:val="32"/>
          <w:shd w:val="clear" w:color="auto" w:fill="FFFFFF"/>
        </w:rPr>
      </w:pPr>
      <w:r>
        <w:rPr>
          <w:rFonts w:hint="eastAsia" w:ascii="仿宋" w:hAnsi="仿宋" w:eastAsia="仿宋"/>
          <w:bCs/>
          <w:color w:val="000000" w:themeColor="text1"/>
          <w:kern w:val="2"/>
          <w:sz w:val="32"/>
          <w:szCs w:val="32"/>
        </w:rPr>
        <w:t>4、</w:t>
      </w:r>
      <w:r>
        <w:rPr>
          <w:rFonts w:ascii="仿宋" w:hAnsi="仿宋" w:eastAsia="仿宋"/>
          <w:bCs/>
          <w:color w:val="000000" w:themeColor="text1"/>
          <w:kern w:val="2"/>
          <w:sz w:val="32"/>
          <w:szCs w:val="32"/>
        </w:rPr>
        <w:t>抓严抓实医保基金监管。</w:t>
      </w:r>
      <w:r>
        <w:rPr>
          <w:rFonts w:ascii="仿宋" w:hAnsi="仿宋" w:eastAsia="仿宋"/>
          <w:color w:val="000000" w:themeColor="text1"/>
          <w:sz w:val="32"/>
          <w:szCs w:val="32"/>
        </w:rPr>
        <w:t>全面部署医保基金集中整治“回头看”行动，</w:t>
      </w:r>
      <w:r>
        <w:rPr>
          <w:rFonts w:ascii="仿宋" w:hAnsi="仿宋" w:eastAsia="仿宋"/>
          <w:bCs/>
          <w:color w:val="000000" w:themeColor="text1"/>
          <w:sz w:val="32"/>
          <w:szCs w:val="32"/>
        </w:rPr>
        <w:t>近2年来，共追回医保基金1088.19万元，其中组织自查自纠227.45万元；现场核查、审核及日常监督186.6万元；行政执法案件追回251.41万元；医保卡兑现乱象整治及死亡后划拨个人账户2.99万元；交叉检查106.98万元；专项巡察221万元；医养结合与血液透析专项整治91.76万元。期间对13家协议医药机构开展行政处罚并罚款97.28万元，责令13家协议医药机构限期整改，约谈12家医药机构负责人，终止1家医院医保服务协议，暂停1家零售药店医保服务协议6个月，中止1家医氧结合医院医保服务协议1个月，移交问题线索11条，</w:t>
      </w:r>
      <w:r>
        <w:rPr>
          <w:rFonts w:ascii="仿宋" w:hAnsi="仿宋" w:eastAsia="仿宋"/>
          <w:color w:val="000000" w:themeColor="text1"/>
          <w:sz w:val="32"/>
          <w:szCs w:val="32"/>
        </w:rPr>
        <w:t>县纪委监委立案查处5人，组织处理6人</w:t>
      </w:r>
      <w:r>
        <w:rPr>
          <w:rFonts w:ascii="仿宋" w:hAnsi="仿宋" w:eastAsia="仿宋"/>
          <w:bCs/>
          <w:color w:val="000000" w:themeColor="text1"/>
          <w:sz w:val="32"/>
          <w:szCs w:val="32"/>
        </w:rPr>
        <w:t>。</w:t>
      </w:r>
    </w:p>
    <w:p>
      <w:pPr>
        <w:pStyle w:val="11"/>
        <w:spacing w:line="600" w:lineRule="exact"/>
        <w:ind w:firstLine="640" w:firstLineChars="200"/>
        <w:rPr>
          <w:rFonts w:ascii="仿宋" w:hAnsi="仿宋" w:eastAsia="仿宋"/>
          <w:color w:val="000000" w:themeColor="text1"/>
          <w:sz w:val="32"/>
          <w:szCs w:val="32"/>
        </w:rPr>
      </w:pPr>
      <w:r>
        <w:rPr>
          <w:rFonts w:hint="eastAsia" w:ascii="仿宋" w:hAnsi="仿宋" w:eastAsia="仿宋"/>
          <w:bCs/>
          <w:color w:val="000000" w:themeColor="text1"/>
          <w:sz w:val="32"/>
          <w:szCs w:val="32"/>
        </w:rPr>
        <w:t>5、</w:t>
      </w:r>
      <w:r>
        <w:rPr>
          <w:rFonts w:ascii="仿宋" w:hAnsi="仿宋" w:eastAsia="仿宋"/>
          <w:bCs/>
          <w:color w:val="000000" w:themeColor="text1"/>
          <w:sz w:val="32"/>
          <w:szCs w:val="32"/>
        </w:rPr>
        <w:t>蹄疾步稳，砥砺前行，深化改革探索。不断推行的医疗保障制度改革是自上而下工作要求，也是基层到顶层设计的实践</w:t>
      </w:r>
      <w:r>
        <w:rPr>
          <w:rFonts w:hint="eastAsia" w:ascii="仿宋" w:hAnsi="仿宋" w:eastAsia="仿宋"/>
          <w:bCs/>
          <w:color w:val="000000" w:themeColor="text1"/>
          <w:sz w:val="32"/>
          <w:szCs w:val="32"/>
        </w:rPr>
        <w:t>呼应</w:t>
      </w:r>
      <w:r>
        <w:rPr>
          <w:rFonts w:ascii="仿宋" w:hAnsi="仿宋" w:eastAsia="仿宋"/>
          <w:bCs/>
          <w:color w:val="000000" w:themeColor="text1"/>
          <w:sz w:val="32"/>
          <w:szCs w:val="32"/>
        </w:rPr>
        <w:t>。一是</w:t>
      </w:r>
      <w:r>
        <w:rPr>
          <w:rFonts w:hint="eastAsia" w:ascii="仿宋" w:hAnsi="仿宋" w:eastAsia="仿宋"/>
          <w:bCs/>
          <w:color w:val="000000" w:themeColor="text1"/>
          <w:sz w:val="32"/>
          <w:szCs w:val="32"/>
        </w:rPr>
        <w:t>扎实推进</w:t>
      </w:r>
      <w:r>
        <w:rPr>
          <w:rFonts w:ascii="仿宋" w:hAnsi="仿宋" w:eastAsia="仿宋"/>
          <w:bCs/>
          <w:color w:val="000000" w:themeColor="text1"/>
          <w:sz w:val="32"/>
          <w:szCs w:val="32"/>
        </w:rPr>
        <w:t>医保经办三级服务体系建设。建立医保县、镇、村三级经办体系，全部接通医保专线及国家医保统一平台，在乡镇、村及卫生院可提供《全国经办政务服务事项清单》中11项医保服务，打造“10分钟”路程医保便民服务圈。二是</w:t>
      </w:r>
      <w:r>
        <w:rPr>
          <w:rFonts w:hint="eastAsia" w:ascii="仿宋" w:hAnsi="仿宋" w:eastAsia="仿宋"/>
          <w:bCs/>
          <w:color w:val="000000" w:themeColor="text1"/>
          <w:sz w:val="32"/>
          <w:szCs w:val="32"/>
        </w:rPr>
        <w:t>积极推行</w:t>
      </w:r>
      <w:r>
        <w:rPr>
          <w:rFonts w:ascii="仿宋" w:hAnsi="仿宋" w:eastAsia="仿宋"/>
          <w:bCs/>
          <w:color w:val="000000" w:themeColor="text1"/>
          <w:sz w:val="32"/>
          <w:szCs w:val="32"/>
        </w:rPr>
        <w:t>DRG</w:t>
      </w:r>
      <w:r>
        <w:rPr>
          <w:rFonts w:hint="eastAsia" w:ascii="仿宋" w:hAnsi="仿宋" w:eastAsia="仿宋"/>
          <w:bCs/>
          <w:color w:val="000000" w:themeColor="text1"/>
          <w:sz w:val="32"/>
          <w:szCs w:val="32"/>
        </w:rPr>
        <w:t>医保支付方式改革</w:t>
      </w:r>
      <w:r>
        <w:rPr>
          <w:rFonts w:ascii="仿宋" w:hAnsi="仿宋" w:eastAsia="仿宋"/>
          <w:bCs/>
          <w:color w:val="000000" w:themeColor="text1"/>
          <w:sz w:val="32"/>
          <w:szCs w:val="32"/>
        </w:rPr>
        <w:t>。</w:t>
      </w:r>
      <w:r>
        <w:rPr>
          <w:rFonts w:hint="eastAsia" w:ascii="仿宋" w:hAnsi="仿宋" w:eastAsia="仿宋"/>
          <w:bCs/>
          <w:color w:val="000000" w:themeColor="text1"/>
          <w:sz w:val="32"/>
          <w:szCs w:val="32"/>
        </w:rPr>
        <w:t>强化组织领导，开展业务培训，组建DRG支付方式改革专家库，督导医院做好接口改造、贯标、清单上传、场景改造、引入第三方等工作。</w:t>
      </w:r>
      <w:r>
        <w:rPr>
          <w:rFonts w:ascii="仿宋" w:hAnsi="仿宋" w:eastAsia="仿宋"/>
          <w:bCs/>
          <w:color w:val="000000" w:themeColor="text1"/>
          <w:sz w:val="32"/>
          <w:szCs w:val="32"/>
        </w:rPr>
        <w:t>三是</w:t>
      </w:r>
      <w:r>
        <w:rPr>
          <w:rFonts w:hint="eastAsia" w:ascii="仿宋" w:hAnsi="仿宋" w:eastAsia="仿宋"/>
          <w:bCs/>
          <w:color w:val="000000" w:themeColor="text1"/>
          <w:sz w:val="32"/>
          <w:szCs w:val="32"/>
        </w:rPr>
        <w:t>认真</w:t>
      </w:r>
      <w:r>
        <w:rPr>
          <w:rFonts w:ascii="仿宋" w:hAnsi="仿宋" w:eastAsia="仿宋"/>
          <w:bCs/>
          <w:color w:val="000000" w:themeColor="text1"/>
          <w:sz w:val="32"/>
          <w:szCs w:val="32"/>
        </w:rPr>
        <w:t>推进医保信息化标准化建设。</w:t>
      </w:r>
      <w:r>
        <w:rPr>
          <w:rFonts w:ascii="仿宋" w:hAnsi="仿宋" w:eastAsia="仿宋"/>
          <w:color w:val="000000" w:themeColor="text1"/>
          <w:sz w:val="32"/>
          <w:szCs w:val="32"/>
        </w:rPr>
        <w:t>强化网络安全建设，经办业务要求严格专网切入，配备固定网络信息维护员，加强网络安全巡查。加快推进医保电子凭证激活应用，截止目前，激活率</w:t>
      </w:r>
      <w:r>
        <w:rPr>
          <w:rFonts w:hint="eastAsia" w:ascii="仿宋" w:hAnsi="仿宋" w:eastAsia="仿宋"/>
          <w:color w:val="000000" w:themeColor="text1"/>
          <w:sz w:val="32"/>
          <w:szCs w:val="32"/>
        </w:rPr>
        <w:t>27.7</w:t>
      </w:r>
      <w:r>
        <w:rPr>
          <w:rFonts w:ascii="仿宋" w:hAnsi="仿宋" w:eastAsia="仿宋"/>
          <w:color w:val="000000" w:themeColor="text1"/>
          <w:sz w:val="32"/>
          <w:szCs w:val="32"/>
        </w:rPr>
        <w:t>3%，单周电子凭证结算占比</w:t>
      </w:r>
      <w:r>
        <w:rPr>
          <w:rFonts w:hint="eastAsia" w:ascii="仿宋" w:hAnsi="仿宋" w:eastAsia="仿宋"/>
          <w:color w:val="000000" w:themeColor="text1"/>
          <w:sz w:val="32"/>
          <w:szCs w:val="32"/>
        </w:rPr>
        <w:t>13.02</w:t>
      </w:r>
      <w:r>
        <w:rPr>
          <w:rFonts w:ascii="仿宋" w:hAnsi="仿宋" w:eastAsia="仿宋"/>
          <w:color w:val="000000" w:themeColor="text1"/>
          <w:sz w:val="32"/>
          <w:szCs w:val="32"/>
        </w:rPr>
        <w:t>%。</w:t>
      </w:r>
    </w:p>
    <w:p>
      <w:pPr>
        <w:spacing w:line="500" w:lineRule="exact"/>
        <w:ind w:firstLine="600" w:firstLineChars="200"/>
        <w:rPr>
          <w:rFonts w:ascii="仿宋" w:hAnsi="仿宋" w:eastAsia="仿宋" w:cs="宋体"/>
          <w:sz w:val="30"/>
          <w:szCs w:val="30"/>
        </w:rPr>
      </w:pPr>
      <w:r>
        <w:rPr>
          <w:rFonts w:ascii="仿宋" w:hAnsi="仿宋" w:eastAsia="仿宋" w:cs="宋体"/>
          <w:sz w:val="30"/>
          <w:szCs w:val="30"/>
        </w:rPr>
        <w:t>四、评价结论及建议</w:t>
      </w:r>
    </w:p>
    <w:p>
      <w:pPr>
        <w:pStyle w:val="2"/>
        <w:spacing w:line="500" w:lineRule="exact"/>
        <w:ind w:firstLine="600" w:firstLineChars="200"/>
        <w:rPr>
          <w:rFonts w:ascii="仿宋" w:hAnsi="仿宋" w:eastAsia="仿宋" w:cs="宋体"/>
          <w:sz w:val="30"/>
          <w:szCs w:val="30"/>
        </w:rPr>
      </w:pPr>
      <w:r>
        <w:rPr>
          <w:rFonts w:hint="eastAsia" w:ascii="仿宋" w:hAnsi="仿宋" w:eastAsia="仿宋" w:cs="宋体"/>
          <w:sz w:val="30"/>
          <w:szCs w:val="30"/>
        </w:rPr>
        <w:t>（一）评价结论</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Times New Roman"/>
          <w:sz w:val="30"/>
          <w:szCs w:val="30"/>
        </w:rPr>
        <w:t>2022年</w:t>
      </w:r>
      <w:r>
        <w:rPr>
          <w:rFonts w:hint="eastAsia" w:ascii="仿宋" w:hAnsi="仿宋" w:eastAsia="仿宋"/>
          <w:sz w:val="30"/>
          <w:szCs w:val="30"/>
        </w:rPr>
        <w:t>医保局</w:t>
      </w:r>
      <w:r>
        <w:rPr>
          <w:rFonts w:hint="eastAsia" w:ascii="仿宋" w:hAnsi="仿宋" w:eastAsia="仿宋" w:cs="Times New Roman"/>
          <w:sz w:val="30"/>
          <w:szCs w:val="30"/>
        </w:rPr>
        <w:t>部门预算支出保障了各项工作的正常运转，</w:t>
      </w:r>
      <w:r>
        <w:rPr>
          <w:rFonts w:hint="eastAsia" w:ascii="仿宋" w:hAnsi="仿宋" w:eastAsia="仿宋" w:cs="仿宋_GB2312"/>
          <w:color w:val="000000" w:themeColor="text1"/>
          <w:sz w:val="30"/>
          <w:szCs w:val="30"/>
        </w:rPr>
        <w:t>有效推动了全县医疗保障事业健康、可持续发展。</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（二）存在的问题</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一是在制定考核指标过程中，操作性不强，无法将将所有考核指标量化到每一岗位和每一位职工。</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二是在进行考核过程中，只能将共性指标内容考虑进去，因岗位性质不一样，考核结果无法体现每个岗位的特点和工作完成情况。</w:t>
      </w:r>
    </w:p>
    <w:p>
      <w:pPr>
        <w:spacing w:line="500" w:lineRule="exact"/>
        <w:ind w:firstLine="600" w:firstLineChars="200"/>
        <w:rPr>
          <w:rFonts w:ascii="仿宋" w:hAnsi="仿宋" w:eastAsia="仿宋" w:cs="Times New Roman"/>
          <w:sz w:val="30"/>
          <w:szCs w:val="30"/>
        </w:rPr>
      </w:pPr>
      <w:r>
        <w:rPr>
          <w:rFonts w:hint="eastAsia" w:ascii="仿宋" w:hAnsi="仿宋" w:eastAsia="仿宋"/>
          <w:sz w:val="30"/>
          <w:szCs w:val="30"/>
        </w:rPr>
        <w:t>（三）改进建议</w:t>
      </w:r>
    </w:p>
    <w:p>
      <w:pPr>
        <w:spacing w:line="500" w:lineRule="exact"/>
        <w:ind w:firstLine="600" w:firstLineChars="200"/>
        <w:rPr>
          <w:rFonts w:ascii="仿宋" w:hAnsi="仿宋" w:eastAsia="仿宋" w:cs="仿宋_GB2312"/>
          <w:color w:val="000000" w:themeColor="text1"/>
          <w:sz w:val="30"/>
          <w:szCs w:val="30"/>
        </w:rPr>
      </w:pPr>
      <w:r>
        <w:rPr>
          <w:rFonts w:hint="eastAsia" w:ascii="仿宋" w:hAnsi="仿宋" w:eastAsia="仿宋" w:cs="仿宋_GB2312"/>
          <w:color w:val="000000" w:themeColor="text1"/>
          <w:sz w:val="30"/>
          <w:szCs w:val="30"/>
        </w:rPr>
        <w:t>一是加强绩效评价政策学习，深入了解绩效评价各项指标含义，联系实际，提高财务人员绩效评价水平。二是加强单位项目资金效益评价，严格按年初预算使用项目资金，力争让项目资金发挥最大的使用效益。三加强预算管理，提高资金使用效率做好全面预算管理工作，做好日常运转和重点工作资金保障的同时，压减不必要的支出。严格遵守预算管理流程和制度，使各项预算处于可控范围。四是做好内控管理，规范财务行为，进一步规范帐户管理、财务事项管理，从源头上防范资金风险、法律风险。做到账证、帐账、账表、账实相符，提高会计信息质量。</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五、其他需要说明的情况</w:t>
      </w:r>
    </w:p>
    <w:p>
      <w:pPr>
        <w:spacing w:line="500" w:lineRule="exact"/>
        <w:ind w:firstLine="600" w:firstLineChars="200"/>
        <w:rPr>
          <w:rFonts w:ascii="仿宋" w:hAnsi="仿宋" w:eastAsia="仿宋" w:cs="Times New Roman"/>
          <w:sz w:val="30"/>
          <w:szCs w:val="30"/>
        </w:rPr>
      </w:pPr>
      <w:r>
        <w:rPr>
          <w:rFonts w:hint="eastAsia" w:ascii="仿宋" w:hAnsi="仿宋" w:eastAsia="仿宋" w:cs="Times New Roman"/>
          <w:sz w:val="30"/>
          <w:szCs w:val="30"/>
        </w:rPr>
        <w:t xml:space="preserve">    无</w:t>
      </w:r>
    </w:p>
    <w:p>
      <w:pPr>
        <w:spacing w:line="500" w:lineRule="exact"/>
        <w:rPr>
          <w:rFonts w:ascii="仿宋" w:hAnsi="仿宋" w:eastAsia="仿宋" w:cs="Times New Roman"/>
          <w:sz w:val="30"/>
          <w:szCs w:val="30"/>
        </w:rPr>
      </w:pPr>
    </w:p>
    <w:p>
      <w:pPr>
        <w:spacing w:line="500" w:lineRule="exact"/>
        <w:rPr>
          <w:rFonts w:ascii="仿宋" w:hAnsi="仿宋" w:eastAsia="仿宋" w:cs="Times New Roman"/>
          <w:sz w:val="30"/>
          <w:szCs w:val="30"/>
        </w:rPr>
      </w:pPr>
      <w:r>
        <w:rPr>
          <w:rFonts w:hint="eastAsia" w:ascii="仿宋" w:hAnsi="仿宋" w:eastAsia="仿宋" w:cs="Times New Roman"/>
          <w:sz w:val="30"/>
          <w:szCs w:val="30"/>
        </w:rPr>
        <w:t xml:space="preserve">                             攸县医疗保障局</w:t>
      </w:r>
    </w:p>
    <w:p>
      <w:pPr>
        <w:spacing w:line="500" w:lineRule="exact"/>
        <w:rPr>
          <w:rFonts w:ascii="仿宋" w:hAnsi="仿宋" w:eastAsia="仿宋" w:cs="Times New Roman"/>
          <w:sz w:val="30"/>
          <w:szCs w:val="30"/>
        </w:rPr>
      </w:pPr>
      <w:r>
        <w:rPr>
          <w:rFonts w:hint="eastAsia" w:ascii="仿宋" w:hAnsi="仿宋" w:eastAsia="仿宋" w:cs="Times New Roman"/>
          <w:sz w:val="30"/>
          <w:szCs w:val="30"/>
        </w:rPr>
        <w:t xml:space="preserve">                              2023年1月17日</w:t>
      </w: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500" w:lineRule="exact"/>
        <w:ind w:firstLine="600" w:firstLineChars="200"/>
        <w:rPr>
          <w:rFonts w:ascii="仿宋" w:hAnsi="仿宋" w:eastAsia="仿宋" w:cs="Times New Roman"/>
          <w:sz w:val="30"/>
          <w:szCs w:val="30"/>
        </w:rPr>
      </w:pPr>
    </w:p>
    <w:p>
      <w:pPr>
        <w:spacing w:line="220" w:lineRule="atLeast"/>
        <w:rPr>
          <w:rFonts w:ascii="仿宋" w:hAnsi="仿宋" w:eastAsia="仿宋"/>
          <w:sz w:val="30"/>
          <w:szCs w:val="30"/>
        </w:rPr>
      </w:pPr>
    </w:p>
    <w:p>
      <w:pPr>
        <w:spacing w:line="220" w:lineRule="atLeast"/>
        <w:rPr>
          <w:rFonts w:ascii="仿宋" w:hAnsi="仿宋" w:eastAsia="仿宋"/>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283" w:usb1="180F0C10" w:usb2="00000012"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方正书宋简体">
    <w:altName w:val="微软雅黑"/>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WY3OGY0MjBjYzg2MWQ0OGNlN2RiN2I5ZWI3OTQzMjUifQ=="/>
  </w:docVars>
  <w:rsids>
    <w:rsidRoot w:val="00D31D50"/>
    <w:rsid w:val="001B092C"/>
    <w:rsid w:val="001B478C"/>
    <w:rsid w:val="00205CBC"/>
    <w:rsid w:val="002445F9"/>
    <w:rsid w:val="002500A8"/>
    <w:rsid w:val="00323B43"/>
    <w:rsid w:val="003A0389"/>
    <w:rsid w:val="003D37D8"/>
    <w:rsid w:val="00426133"/>
    <w:rsid w:val="004358AB"/>
    <w:rsid w:val="00446159"/>
    <w:rsid w:val="00456F26"/>
    <w:rsid w:val="00477DC0"/>
    <w:rsid w:val="004F78B6"/>
    <w:rsid w:val="00500A38"/>
    <w:rsid w:val="0062445C"/>
    <w:rsid w:val="00764C3E"/>
    <w:rsid w:val="007C0B23"/>
    <w:rsid w:val="00836BAF"/>
    <w:rsid w:val="008B7726"/>
    <w:rsid w:val="00941474"/>
    <w:rsid w:val="00954923"/>
    <w:rsid w:val="009D4C1F"/>
    <w:rsid w:val="00A4135B"/>
    <w:rsid w:val="00B85CE4"/>
    <w:rsid w:val="00C600AE"/>
    <w:rsid w:val="00C836CA"/>
    <w:rsid w:val="00D31D50"/>
    <w:rsid w:val="00D67422"/>
    <w:rsid w:val="00F06E3C"/>
    <w:rsid w:val="00F63C5C"/>
    <w:rsid w:val="4E5D6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unhideWhenUsed/>
    <w:uiPriority w:val="0"/>
    <w:pPr>
      <w:widowControl w:val="0"/>
      <w:adjustRightInd/>
      <w:snapToGrid/>
      <w:spacing w:after="0"/>
      <w:jc w:val="both"/>
    </w:pPr>
    <w:rPr>
      <w:rFonts w:ascii="宋体" w:hAnsi="Courier New" w:eastAsia="宋体" w:cs="Courier New"/>
      <w:szCs w:val="21"/>
    </w:rPr>
  </w:style>
  <w:style w:type="paragraph" w:styleId="3">
    <w:name w:val="footer"/>
    <w:basedOn w:val="1"/>
    <w:link w:val="8"/>
    <w:semiHidden/>
    <w:unhideWhenUsed/>
    <w:uiPriority w:val="99"/>
    <w:pPr>
      <w:tabs>
        <w:tab w:val="center" w:pos="4153"/>
        <w:tab w:val="right" w:pos="8306"/>
      </w:tabs>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jc w:val="center"/>
    </w:pPr>
    <w:rPr>
      <w:sz w:val="18"/>
      <w:szCs w:val="18"/>
    </w:rPr>
  </w:style>
  <w:style w:type="character" w:customStyle="1" w:styleId="7">
    <w:name w:val="页眉 Char"/>
    <w:basedOn w:val="6"/>
    <w:link w:val="4"/>
    <w:semiHidden/>
    <w:uiPriority w:val="99"/>
    <w:rPr>
      <w:rFonts w:ascii="Tahoma" w:hAnsi="Tahoma"/>
      <w:sz w:val="18"/>
      <w:szCs w:val="18"/>
    </w:rPr>
  </w:style>
  <w:style w:type="character" w:customStyle="1" w:styleId="8">
    <w:name w:val="页脚 Char"/>
    <w:basedOn w:val="6"/>
    <w:link w:val="3"/>
    <w:semiHidden/>
    <w:uiPriority w:val="99"/>
    <w:rPr>
      <w:rFonts w:ascii="Tahoma" w:hAnsi="Tahoma"/>
      <w:sz w:val="18"/>
      <w:szCs w:val="18"/>
    </w:rPr>
  </w:style>
  <w:style w:type="character" w:customStyle="1" w:styleId="9">
    <w:name w:val="纯文本 Char"/>
    <w:basedOn w:val="6"/>
    <w:link w:val="2"/>
    <w:semiHidden/>
    <w:uiPriority w:val="99"/>
    <w:rPr>
      <w:rFonts w:ascii="宋体" w:hAnsi="Courier New" w:eastAsia="宋体" w:cs="Courier New"/>
      <w:sz w:val="21"/>
      <w:szCs w:val="21"/>
    </w:rPr>
  </w:style>
  <w:style w:type="character" w:customStyle="1" w:styleId="10">
    <w:name w:val="纯文本 Char1"/>
    <w:basedOn w:val="6"/>
    <w:link w:val="2"/>
    <w:locked/>
    <w:uiPriority w:val="0"/>
    <w:rPr>
      <w:rFonts w:ascii="宋体" w:hAnsi="Courier New" w:eastAsia="宋体" w:cs="Courier New"/>
      <w:szCs w:val="21"/>
    </w:rPr>
  </w:style>
  <w:style w:type="paragraph" w:customStyle="1" w:styleId="11">
    <w:name w:val="Default"/>
    <w:qFormat/>
    <w:uiPriority w:val="0"/>
    <w:pPr>
      <w:widowControl w:val="0"/>
      <w:autoSpaceDE w:val="0"/>
      <w:autoSpaceDN w:val="0"/>
      <w:adjustRightInd w:val="0"/>
      <w:spacing w:after="0" w:line="240" w:lineRule="auto"/>
    </w:pPr>
    <w:rPr>
      <w:rFonts w:ascii="黑体" w:hAnsi="Times New Roman" w:eastAsia="黑体" w:cs="Times New Roman"/>
      <w:sz w:val="20"/>
      <w:szCs w:val="2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538</Words>
  <Characters>3068</Characters>
  <Lines>25</Lines>
  <Paragraphs>7</Paragraphs>
  <TotalTime>68</TotalTime>
  <ScaleCrop>false</ScaleCrop>
  <LinksUpToDate>false</LinksUpToDate>
  <CharactersWithSpaces>3599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cp:lastModifiedBy>
  <dcterms:modified xsi:type="dcterms:W3CDTF">2024-06-18T00:43:41Z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9312846C08B3479D99949E4AF982F042_12</vt:lpwstr>
  </property>
</Properties>
</file>