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bookmarkStart w:id="0" w:name="_GoBack"/>
      <w:r>
        <w:rPr>
          <w:rFonts w:hint="eastAsia" w:ascii="Times New Roman" w:hAnsi="Times New Roman" w:eastAsia="方正小标宋简体" w:cs="方正小标宋简体"/>
          <w:kern w:val="0"/>
          <w:sz w:val="44"/>
          <w:szCs w:val="20"/>
          <w:lang w:val="en-US" w:eastAsia="zh-CN"/>
        </w:rPr>
        <w:t>株洲市医疗保障局</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r>
        <w:rPr>
          <w:rFonts w:hint="eastAsia" w:ascii="Times New Roman" w:hAnsi="Times New Roman" w:eastAsia="方正小标宋简体" w:cs="方正小标宋简体"/>
          <w:kern w:val="0"/>
          <w:sz w:val="44"/>
          <w:szCs w:val="20"/>
          <w:lang w:val="en-US" w:eastAsia="zh-CN"/>
        </w:rPr>
        <w:t>株洲市财政局</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r>
        <w:rPr>
          <w:rFonts w:hint="eastAsia" w:ascii="Times New Roman" w:hAnsi="Times New Roman" w:eastAsia="方正小标宋简体" w:cs="方正小标宋简体"/>
          <w:kern w:val="0"/>
          <w:sz w:val="44"/>
          <w:szCs w:val="20"/>
          <w:lang w:val="en-US" w:eastAsia="zh-CN"/>
        </w:rPr>
        <w:t>关于国家组织药品高值医用耗材集中</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r>
        <w:rPr>
          <w:rFonts w:hint="eastAsia" w:ascii="Times New Roman" w:hAnsi="Times New Roman" w:eastAsia="方正小标宋简体" w:cs="方正小标宋简体"/>
          <w:kern w:val="0"/>
          <w:sz w:val="44"/>
          <w:szCs w:val="20"/>
          <w:lang w:val="en-US" w:eastAsia="zh-CN"/>
        </w:rPr>
        <w:t>采购工作中医保资金结余留用的实施意见</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kern w:val="0"/>
          <w:sz w:val="44"/>
          <w:szCs w:val="20"/>
          <w:lang w:val="en-US" w:eastAsia="zh-CN"/>
        </w:rPr>
      </w:pPr>
      <w:r>
        <w:rPr>
          <w:rFonts w:hint="eastAsia" w:ascii="Times New Roman" w:hAnsi="Times New Roman" w:eastAsia="方正小标宋简体" w:cs="方正小标宋简体"/>
          <w:kern w:val="0"/>
          <w:sz w:val="44"/>
          <w:szCs w:val="20"/>
          <w:lang w:val="en-US" w:eastAsia="zh-CN"/>
        </w:rPr>
        <w:t>（征求意见稿）</w:t>
      </w:r>
    </w:p>
    <w:bookmarkEnd w:id="0"/>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kern w:val="0"/>
          <w:sz w:val="44"/>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各县市区医疗保障局、财政局，</w:t>
      </w:r>
      <w:r>
        <w:rPr>
          <w:rFonts w:hint="eastAsia" w:ascii="仿宋_GB2312" w:hAnsi="仿宋_GB2312" w:eastAsia="仿宋_GB2312" w:cs="仿宋_GB2312"/>
          <w:kern w:val="0"/>
          <w:sz w:val="32"/>
          <w:szCs w:val="15"/>
          <w:lang w:val="en-US" w:eastAsia="zh-CN"/>
        </w:rPr>
        <w:t>市医疗保障事务中心，</w:t>
      </w:r>
      <w:r>
        <w:rPr>
          <w:rFonts w:hint="eastAsia" w:ascii="仿宋_GB2312" w:hAnsi="仿宋_GB2312" w:eastAsia="仿宋_GB2312" w:cs="仿宋_GB2312"/>
          <w:color w:val="333333"/>
          <w:kern w:val="0"/>
          <w:sz w:val="32"/>
          <w:szCs w:val="32"/>
          <w:lang w:val="en-US" w:eastAsia="zh-CN" w:bidi="ar"/>
        </w:rPr>
        <w:t xml:space="preserve">相关协议医疗机构：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根据《国家医保局 财政部关于国家组织药品集中采购工作中医保资金结余留用的指导意见》（医保发〔2020〕26号）、《国家医保局 国家发展改革委 工业和信息化部 财政部 国家卫生健康委 市场监管总局 国家药监局 中央军委后勤保障部关于开展国家组织高值医用耗材集中带量采购和使用的指导意见》（医保发〔2021〕31号）、《湖南省医疗保障局 湖南省财政厅关于国家组织药品高值医用耗材集中采购工作中医保资金结余留用的实施意见》（湘医保发〔2024〕10号）等文件要求，为进一步提升医疗机构和医务人员参与改革的积极性，全面实行药品、高值医用耗材集中带量采购，并以集中采购为突破口，推进“三医联动”改革，现就我市协议医疗机构落实国家组织药品、高值医用耗材首轮集中采购周期中医保资金结余留用政策提出如下意见：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ascii="黑体" w:hAnsi="宋体" w:eastAsia="黑体" w:cs="黑体"/>
          <w:color w:val="333333"/>
          <w:kern w:val="0"/>
          <w:sz w:val="32"/>
          <w:szCs w:val="32"/>
          <w:lang w:val="en-US" w:eastAsia="zh-CN" w:bidi="ar"/>
        </w:rPr>
      </w:pPr>
      <w:r>
        <w:rPr>
          <w:rFonts w:hint="eastAsia" w:ascii="黑体" w:hAnsi="宋体" w:eastAsia="黑体" w:cs="黑体"/>
          <w:color w:val="333333"/>
          <w:kern w:val="0"/>
          <w:sz w:val="32"/>
          <w:szCs w:val="32"/>
          <w:lang w:val="en-US" w:eastAsia="zh-CN" w:bidi="ar"/>
        </w:rPr>
        <w:t>一、</w:t>
      </w:r>
      <w:r>
        <w:rPr>
          <w:rFonts w:ascii="黑体" w:hAnsi="宋体" w:eastAsia="黑体" w:cs="黑体"/>
          <w:color w:val="333333"/>
          <w:kern w:val="0"/>
          <w:sz w:val="32"/>
          <w:szCs w:val="32"/>
          <w:lang w:val="en-US" w:eastAsia="zh-CN" w:bidi="ar"/>
        </w:rPr>
        <w:t>实施医保资金预算管理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楷体_GB2312" w:hAnsi="宋体" w:eastAsia="楷体_GB2312" w:cs="楷体_GB2312"/>
          <w:color w:val="333333"/>
          <w:kern w:val="0"/>
          <w:sz w:val="32"/>
          <w:szCs w:val="32"/>
          <w:lang w:val="en-US" w:eastAsia="zh-CN" w:bidi="ar"/>
        </w:rPr>
        <w:t>（一）实行专项预算管理。</w:t>
      </w:r>
      <w:r>
        <w:rPr>
          <w:rFonts w:hint="eastAsia" w:ascii="仿宋_GB2312" w:hAnsi="宋体" w:eastAsia="仿宋_GB2312" w:cs="仿宋_GB2312"/>
          <w:color w:val="333333"/>
          <w:kern w:val="0"/>
          <w:sz w:val="32"/>
          <w:szCs w:val="32"/>
          <w:lang w:val="en-US" w:eastAsia="zh-CN" w:bidi="ar"/>
        </w:rPr>
        <w:t xml:space="preserve">各统筹区对纳入国家组织药品、高值医用耗材集中采购的医保目录内药品、高值医用耗材（下称“集采产品”），在采购周期内按年度实施医保资金预算管理。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333333"/>
          <w:kern w:val="0"/>
          <w:sz w:val="32"/>
          <w:szCs w:val="32"/>
          <w:lang w:val="en-US" w:eastAsia="zh-CN" w:bidi="ar"/>
        </w:rPr>
      </w:pPr>
      <w:r>
        <w:rPr>
          <w:rFonts w:hint="eastAsia" w:ascii="楷体_GB2312" w:hAnsi="宋体" w:eastAsia="楷体_GB2312" w:cs="楷体_GB2312"/>
          <w:color w:val="333333"/>
          <w:kern w:val="0"/>
          <w:sz w:val="32"/>
          <w:szCs w:val="32"/>
          <w:lang w:val="en-US" w:eastAsia="zh-CN" w:bidi="ar"/>
        </w:rPr>
        <w:t>（二）编制年度资金预算。</w:t>
      </w:r>
      <w:r>
        <w:rPr>
          <w:rFonts w:hint="eastAsia" w:ascii="仿宋_GB2312" w:hAnsi="宋体" w:eastAsia="仿宋_GB2312" w:cs="仿宋_GB2312"/>
          <w:color w:val="333333"/>
          <w:kern w:val="0"/>
          <w:sz w:val="32"/>
          <w:szCs w:val="32"/>
          <w:lang w:val="en-US" w:eastAsia="zh-CN" w:bidi="ar"/>
        </w:rPr>
        <w:t xml:space="preserve">各统筹区根据各协议医疗机构上报集采药品、高值医用耗材的采购需求量（并参考上年度通用名药品、同类高值耗材实际使用量）、集采前通用名药品、同类高值耗材加权平均价格、集采产品支付比例、医疗需求合理变化、统筹区参保患者人次占比等因素，计算集采产品医保资金预算。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黑体" w:hAnsi="宋体" w:eastAsia="黑体" w:cs="黑体"/>
          <w:color w:val="333333"/>
          <w:kern w:val="0"/>
          <w:sz w:val="32"/>
          <w:szCs w:val="32"/>
          <w:lang w:val="en-US" w:eastAsia="zh-CN" w:bidi="ar"/>
        </w:rPr>
        <w:t xml:space="preserve">二、核定结余留用金额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楷体_GB2312" w:hAnsi="宋体" w:eastAsia="楷体_GB2312" w:cs="楷体_GB2312"/>
          <w:color w:val="333333"/>
          <w:kern w:val="0"/>
          <w:sz w:val="32"/>
          <w:szCs w:val="32"/>
          <w:lang w:val="en-US" w:eastAsia="zh-CN" w:bidi="ar"/>
        </w:rPr>
        <w:t>（三）明确测算方法。</w:t>
      </w:r>
      <w:r>
        <w:rPr>
          <w:rFonts w:hint="eastAsia" w:ascii="仿宋_GB2312" w:hAnsi="宋体" w:eastAsia="仿宋_GB2312" w:cs="仿宋_GB2312"/>
          <w:color w:val="333333"/>
          <w:kern w:val="0"/>
          <w:sz w:val="32"/>
          <w:szCs w:val="32"/>
          <w:lang w:val="en-US" w:eastAsia="zh-CN" w:bidi="ar"/>
        </w:rPr>
        <w:t xml:space="preserve">各统筹区根据协议医疗机构中选产品约定采购量和中选价格、非中选产品使用金额，以及集采产品支付比例和统筹区参保患者人次占比等因素，计算协议医疗机构集采通用名药品、同类高值耗材医保支出金额，低于集采产品医保资金预算的部分，即为结余测算基数。为鼓励使用中选产品，协议医疗机构使用中选产品超过约定采购量部分，在核定结余测算基数时不计入集采通用名药品、同类高值耗材医保支出金额。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（四）设定留用比例。</w:t>
      </w:r>
      <w:r>
        <w:rPr>
          <w:rFonts w:hint="eastAsia" w:ascii="仿宋_GB2312" w:hAnsi="宋体" w:eastAsia="仿宋_GB2312" w:cs="仿宋_GB2312"/>
          <w:color w:val="333333"/>
          <w:kern w:val="0"/>
          <w:sz w:val="32"/>
          <w:szCs w:val="32"/>
          <w:lang w:val="en-US" w:eastAsia="zh-CN" w:bidi="ar"/>
        </w:rPr>
        <w:t>各统筹区医保部门按规定在结算前对协议医疗机构进行考核，</w:t>
      </w:r>
      <w:r>
        <w:rPr>
          <w:rFonts w:ascii="仿宋_GB2312" w:hAnsi="宋体" w:eastAsia="仿宋_GB2312" w:cs="仿宋_GB2312"/>
          <w:color w:val="333333"/>
          <w:kern w:val="0"/>
          <w:sz w:val="31"/>
          <w:szCs w:val="31"/>
          <w:lang w:val="en-US" w:eastAsia="zh-CN" w:bidi="ar"/>
        </w:rPr>
        <w:t>完成约定采购量且考核合格的协议医</w:t>
      </w:r>
      <w:r>
        <w:rPr>
          <w:rFonts w:hint="eastAsia" w:ascii="仿宋_GB2312" w:hAnsi="宋体" w:eastAsia="仿宋_GB2312" w:cs="仿宋_GB2312"/>
          <w:color w:val="333333"/>
          <w:kern w:val="0"/>
          <w:sz w:val="31"/>
          <w:szCs w:val="31"/>
          <w:lang w:val="en-US" w:eastAsia="zh-CN" w:bidi="ar"/>
        </w:rPr>
        <w:t>疗机构，</w:t>
      </w:r>
      <w:r>
        <w:rPr>
          <w:rFonts w:ascii="仿宋_GB2312" w:hAnsi="宋体" w:eastAsia="仿宋_GB2312" w:cs="仿宋_GB2312"/>
          <w:color w:val="333333"/>
          <w:kern w:val="0"/>
          <w:sz w:val="31"/>
          <w:szCs w:val="31"/>
          <w:lang w:val="en-US" w:eastAsia="zh-CN" w:bidi="ar"/>
        </w:rPr>
        <w:t>按不高于结余测算基数</w:t>
      </w:r>
      <w:r>
        <w:rPr>
          <w:rFonts w:hint="default" w:ascii="Times New Roman" w:hAnsi="Times New Roman" w:eastAsia="宋体" w:cs="Times New Roman"/>
          <w:color w:val="333333"/>
          <w:kern w:val="0"/>
          <w:sz w:val="31"/>
          <w:szCs w:val="31"/>
          <w:lang w:val="en-US" w:eastAsia="zh-CN" w:bidi="ar"/>
        </w:rPr>
        <w:t>50%</w:t>
      </w:r>
      <w:r>
        <w:rPr>
          <w:rFonts w:hint="eastAsia" w:ascii="仿宋_GB2312" w:hAnsi="宋体" w:eastAsia="仿宋_GB2312" w:cs="仿宋_GB2312"/>
          <w:color w:val="333333"/>
          <w:kern w:val="0"/>
          <w:sz w:val="31"/>
          <w:szCs w:val="31"/>
          <w:lang w:val="en-US" w:eastAsia="zh-CN" w:bidi="ar"/>
        </w:rPr>
        <w:t>的比例留用集采产品医保资金，具体留用比例由各地根据各协议医疗机构的考核结果确定。</w:t>
      </w:r>
      <w:r>
        <w:rPr>
          <w:rFonts w:hint="eastAsia" w:ascii="仿宋_GB2312" w:hAnsi="宋体" w:eastAsia="仿宋_GB2312" w:cs="仿宋_GB2312"/>
          <w:color w:val="333333"/>
          <w:kern w:val="0"/>
          <w:sz w:val="32"/>
          <w:szCs w:val="32"/>
          <w:lang w:val="en-US" w:eastAsia="zh-CN" w:bidi="ar"/>
        </w:rPr>
        <w:t xml:space="preserve">医保结余留用金额和通用名药品、同类高值耗材医保实际支出金额之和不应超过集采产品医保资金预算；若通用名药品、同类高值耗材医保实际支出金额超过集采产品医保资金预算，医保基金按规定进行结算。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黑体" w:hAnsi="宋体" w:eastAsia="黑体" w:cs="黑体"/>
          <w:color w:val="333333"/>
          <w:kern w:val="0"/>
          <w:sz w:val="32"/>
          <w:szCs w:val="32"/>
          <w:lang w:val="en-US" w:eastAsia="zh-CN" w:bidi="ar"/>
        </w:rPr>
        <w:t xml:space="preserve">三、考核协议医疗机构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（五）严格考核管理。</w:t>
      </w:r>
      <w:r>
        <w:rPr>
          <w:rFonts w:hint="eastAsia" w:ascii="仿宋_GB2312" w:hAnsi="宋体" w:eastAsia="仿宋_GB2312" w:cs="仿宋_GB2312"/>
          <w:color w:val="333333"/>
          <w:kern w:val="0"/>
          <w:sz w:val="32"/>
          <w:szCs w:val="32"/>
          <w:lang w:val="en-US" w:eastAsia="zh-CN" w:bidi="ar"/>
        </w:rPr>
        <w:t xml:space="preserve">在结算结余留用资金前，各统筹区医保部门应按照国家组织药品、高值医用耗材集中采购以及相关要求，对协议医疗机构分集采年度进行考核。考核工作要纳入医保协议，与各统筹区医保经办机构对协议医疗机构的年度考核相结合。根据考核结果，确定协议医疗机构集采产品医保资金留用的具体金额，考核结果要以适当方式在统筹区协议医疗机构范围内公开。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r>
        <w:rPr>
          <w:rFonts w:hint="eastAsia" w:ascii="楷体_GB2312" w:hAnsi="宋体" w:eastAsia="楷体_GB2312" w:cs="楷体_GB2312"/>
          <w:color w:val="333333"/>
          <w:kern w:val="0"/>
          <w:sz w:val="32"/>
          <w:szCs w:val="32"/>
          <w:lang w:val="en-US" w:eastAsia="zh-CN" w:bidi="ar"/>
        </w:rPr>
        <w:t>（六）细化考核指标体系。</w:t>
      </w:r>
      <w:r>
        <w:rPr>
          <w:rFonts w:hint="eastAsia" w:ascii="仿宋_GB2312" w:hAnsi="宋体" w:eastAsia="仿宋_GB2312" w:cs="仿宋_GB2312"/>
          <w:color w:val="333333"/>
          <w:kern w:val="0"/>
          <w:sz w:val="32"/>
          <w:szCs w:val="32"/>
          <w:lang w:val="en-US" w:eastAsia="zh-CN" w:bidi="ar"/>
        </w:rPr>
        <w:t>按照执行药品、高值医用耗材集采规定，合理控制药品、高值医用耗材费用，落实集采和价格政策内容，以及我市重点工作推进情况，细化考核指标（具体考核指标见附件），各县市区统一执行。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黑体" w:hAnsi="宋体" w:eastAsia="黑体" w:cs="黑体"/>
          <w:color w:val="333333"/>
          <w:kern w:val="0"/>
          <w:sz w:val="32"/>
          <w:szCs w:val="32"/>
          <w:lang w:val="en-US" w:eastAsia="zh-CN" w:bidi="ar"/>
        </w:rPr>
        <w:t xml:space="preserve">四、规范资金管理使用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（七）结算留用资金。</w:t>
      </w:r>
      <w:r>
        <w:rPr>
          <w:rFonts w:hint="eastAsia" w:ascii="仿宋_GB2312" w:hAnsi="宋体" w:eastAsia="仿宋_GB2312" w:cs="仿宋_GB2312"/>
          <w:color w:val="333333"/>
          <w:kern w:val="0"/>
          <w:sz w:val="32"/>
          <w:szCs w:val="32"/>
          <w:lang w:val="en-US" w:eastAsia="zh-CN" w:bidi="ar"/>
        </w:rPr>
        <w:t xml:space="preserve">结余留用资金按年度从医保基金支出，由各自负责考核的医疗保障部门和财政部门负担，各级医疗保障会同财政部门结合职工医保和城乡居民医保参保人员使用集采产品情况，以及基金运行情况等因素，确定结余留用资金列支渠道（职工医保基金和城乡居民医保基金列支比例），集采产品结余留用支出列入基本医疗保险待遇支出科目，即基本医疗保险“统筹基金”明细科目“医疗待遇支出-住院费用支出”。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（八）规范留用资金使用。</w:t>
      </w:r>
      <w:r>
        <w:rPr>
          <w:rFonts w:hint="eastAsia" w:ascii="仿宋_GB2312" w:hAnsi="宋体" w:eastAsia="仿宋_GB2312" w:cs="仿宋_GB2312"/>
          <w:color w:val="333333"/>
          <w:kern w:val="0"/>
          <w:sz w:val="32"/>
          <w:szCs w:val="32"/>
          <w:lang w:val="en-US" w:eastAsia="zh-CN" w:bidi="ar"/>
        </w:rPr>
        <w:t xml:space="preserve">协议医疗机构应完善内部考核办法，根据考核结果分配结余留用资金，主要用于相关人员绩效，激励其合理用药用材、优先使用中选产品。协议医疗机构将集采产品结余留用收入列入其他收入科目，并按照要求做好财务核算，接受相关部门审计核查，提升精细化管理水平。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黑体" w:hAnsi="宋体" w:eastAsia="黑体" w:cs="黑体"/>
          <w:color w:val="333333"/>
          <w:kern w:val="0"/>
          <w:sz w:val="32"/>
          <w:szCs w:val="32"/>
          <w:lang w:val="en-US" w:eastAsia="zh-CN" w:bidi="ar"/>
        </w:rPr>
        <w:t xml:space="preserve">五、工作要求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（九）加快组织实施。各</w:t>
      </w:r>
      <w:r>
        <w:rPr>
          <w:rFonts w:hint="eastAsia" w:ascii="仿宋_GB2312" w:hAnsi="宋体" w:eastAsia="仿宋_GB2312" w:cs="仿宋_GB2312"/>
          <w:color w:val="333333"/>
          <w:kern w:val="0"/>
          <w:sz w:val="32"/>
          <w:szCs w:val="32"/>
          <w:lang w:val="en-US" w:eastAsia="zh-CN" w:bidi="ar"/>
        </w:rPr>
        <w:t xml:space="preserve">统筹区医保部门要根据本实施意见，会同财政部门制定具体管理办法，及时落实医疗机构结余留用政策，做好集采产品医保资金预算管理、协议医疗机构考核、结余留用资金核定和结算等工作。各统筹区要在集采产品带量购销合同期满后，按规定结算留用资金。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（十）加强政策协同。</w:t>
      </w:r>
      <w:r>
        <w:rPr>
          <w:rFonts w:hint="eastAsia" w:ascii="仿宋_GB2312" w:hAnsi="宋体" w:eastAsia="仿宋_GB2312" w:cs="仿宋_GB2312"/>
          <w:color w:val="333333"/>
          <w:kern w:val="0"/>
          <w:sz w:val="32"/>
          <w:szCs w:val="32"/>
          <w:lang w:val="en-US" w:eastAsia="zh-CN" w:bidi="ar"/>
        </w:rPr>
        <w:t xml:space="preserve">各统筹区医保部门和财政部门要与时俱进，以坚定的改革信心和有力的政策措施，推进集采产品医保资金结余留用工作。要做好集采产品医保资金预算管理与医保支付标准、医保支付方式改革等政策间的衔接；做好结余留用工作与医疗服务价格调整、财政补助工作之间的衔接，避免重复补偿；实施按 </w:t>
      </w:r>
      <w:r>
        <w:rPr>
          <w:rFonts w:hint="default" w:ascii="仿宋_GB2312" w:hAnsi="宋体" w:eastAsia="仿宋_GB2312" w:cs="仿宋_GB2312"/>
          <w:color w:val="333333"/>
          <w:kern w:val="0"/>
          <w:sz w:val="32"/>
          <w:szCs w:val="32"/>
          <w:lang w:val="en-US" w:eastAsia="zh-CN" w:bidi="ar"/>
        </w:rPr>
        <w:t>DRG</w:t>
      </w:r>
      <w:r>
        <w:rPr>
          <w:rFonts w:hint="eastAsia" w:ascii="仿宋_GB2312" w:hAnsi="宋体" w:eastAsia="仿宋_GB2312" w:cs="仿宋_GB2312"/>
          <w:color w:val="333333"/>
          <w:kern w:val="0"/>
          <w:sz w:val="32"/>
          <w:szCs w:val="32"/>
          <w:lang w:val="en-US" w:eastAsia="zh-CN" w:bidi="ar"/>
        </w:rPr>
        <w:t xml:space="preserve">付费（含病种付费）的统筹区，当年未因集采产品降价而调减付费标准的，可按集采产品医保结余留用政策进行核算和统计，但不重复拨付资金。要加强政策宣传和舆论引导，合理引导各界预期，积极回应社会关切，营造良好改革环境。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楷体_GB2312" w:hAnsi="宋体" w:eastAsia="楷体_GB2312" w:cs="楷体_GB2312"/>
          <w:color w:val="333333"/>
          <w:kern w:val="0"/>
          <w:sz w:val="32"/>
          <w:szCs w:val="32"/>
          <w:lang w:val="en-US" w:eastAsia="zh-CN" w:bidi="ar"/>
        </w:rPr>
        <w:t xml:space="preserve">（十一）省级（省际联盟）医药带量采购工作可参照本实施意见，实行医保资金结余留用。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333333"/>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仿宋_GB2312" w:hAnsi="宋体" w:eastAsia="仿宋_GB2312" w:cs="仿宋_GB2312"/>
          <w:color w:val="333333"/>
          <w:kern w:val="0"/>
          <w:sz w:val="32"/>
          <w:szCs w:val="32"/>
          <w:lang w:val="en-US" w:eastAsia="zh-CN" w:bidi="ar"/>
        </w:rPr>
      </w:pPr>
      <w:r>
        <w:rPr>
          <w:rFonts w:hint="eastAsia" w:ascii="仿宋_GB2312" w:hAnsi="宋体" w:eastAsia="仿宋_GB2312" w:cs="仿宋_GB2312"/>
          <w:color w:val="333333"/>
          <w:kern w:val="0"/>
          <w:sz w:val="32"/>
          <w:szCs w:val="32"/>
          <w:lang w:val="en-US" w:eastAsia="zh-CN" w:bidi="ar"/>
        </w:rPr>
        <w:t>附件：</w:t>
      </w:r>
      <w:r>
        <w:rPr>
          <w:rFonts w:hint="default" w:ascii="Times New Roman" w:hAnsi="Times New Roman" w:eastAsia="宋体" w:cs="Times New Roman"/>
          <w:color w:val="333333"/>
          <w:kern w:val="0"/>
          <w:sz w:val="32"/>
          <w:szCs w:val="32"/>
          <w:lang w:val="en-US" w:eastAsia="zh-CN" w:bidi="ar"/>
        </w:rPr>
        <w:t>1.</w:t>
      </w:r>
      <w:r>
        <w:rPr>
          <w:rFonts w:hint="eastAsia" w:ascii="仿宋_GB2312" w:hAnsi="宋体" w:eastAsia="仿宋_GB2312" w:cs="仿宋_GB2312"/>
          <w:color w:val="333333"/>
          <w:kern w:val="0"/>
          <w:sz w:val="32"/>
          <w:szCs w:val="32"/>
          <w:lang w:val="en-US" w:eastAsia="zh-CN" w:bidi="ar"/>
        </w:rPr>
        <w:t>国家组织药品高值医用耗材集中采购工作中医保资金结余留用结算流程细则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pPr>
      <w:r>
        <w:rPr>
          <w:rFonts w:hint="eastAsia" w:ascii="仿宋_GB2312" w:hAnsi="宋体" w:eastAsia="仿宋_GB2312" w:cs="仿宋_GB2312"/>
          <w:color w:val="333333"/>
          <w:kern w:val="0"/>
          <w:sz w:val="32"/>
          <w:szCs w:val="32"/>
          <w:lang w:val="en-US" w:eastAsia="zh-CN" w:bidi="ar"/>
        </w:rPr>
        <w:t>2.协议医疗机构考核指标及分值</w:t>
      </w:r>
    </w:p>
    <w:p>
      <w:pPr>
        <w:keepNext w:val="0"/>
        <w:keepLines w:val="0"/>
        <w:pageBreakBefore w:val="0"/>
        <w:widowControl/>
        <w:suppressLineNumbers w:val="0"/>
        <w:kinsoku/>
        <w:wordWrap/>
        <w:overflowPunct/>
        <w:topLinePunct w:val="0"/>
        <w:autoSpaceDE/>
        <w:autoSpaceDN/>
        <w:bidi w:val="0"/>
        <w:adjustRightInd/>
        <w:snapToGrid/>
        <w:spacing w:line="600" w:lineRule="exact"/>
        <w:ind w:left="1916" w:leftChars="760" w:hanging="320" w:hangingChars="100"/>
        <w:jc w:val="left"/>
        <w:textAlignment w:val="auto"/>
        <w:rPr>
          <w:rFonts w:hint="default" w:ascii="仿宋_GB2312" w:hAnsi="宋体" w:eastAsia="仿宋_GB2312" w:cs="仿宋_GB2312"/>
          <w:color w:val="333333"/>
          <w:kern w:val="0"/>
          <w:sz w:val="32"/>
          <w:szCs w:val="32"/>
          <w:lang w:val="en-US" w:eastAsia="zh-CN" w:bidi="ar"/>
        </w:rPr>
        <w:sectPr>
          <w:footerReference r:id="rId3" w:type="default"/>
          <w:pgSz w:w="11906" w:h="16838"/>
          <w:pgMar w:top="1440" w:right="1800" w:bottom="1440" w:left="1800" w:header="851" w:footer="992" w:gutter="0"/>
          <w:pgNumType w:fmt="numberInDash" w:start="2"/>
          <w:cols w:space="425" w:num="1"/>
          <w:docGrid w:type="lines" w:linePitch="312" w:charSpace="0"/>
        </w:sectPr>
      </w:pPr>
    </w:p>
    <w:p>
      <w:pPr>
        <w:overflowPunct w:val="0"/>
        <w:spacing w:line="550" w:lineRule="exact"/>
        <w:jc w:val="left"/>
        <w:rPr>
          <w:rFonts w:hint="eastAsia" w:ascii="Times New Roman" w:hAnsi="Times New Roman" w:eastAsia="仿宋_GB2312"/>
          <w:spacing w:val="-6"/>
          <w:kern w:val="0"/>
          <w:sz w:val="32"/>
          <w:szCs w:val="32"/>
          <w:lang w:val="en-US" w:eastAsia="zh-CN"/>
        </w:rPr>
      </w:pPr>
      <w:r>
        <w:rPr>
          <w:rFonts w:hint="eastAsia" w:ascii="Times New Roman" w:hAnsi="Times New Roman" w:eastAsia="仿宋_GB2312"/>
          <w:spacing w:val="-6"/>
          <w:kern w:val="0"/>
          <w:sz w:val="32"/>
          <w:szCs w:val="32"/>
          <w:lang w:eastAsia="zh-CN"/>
        </w:rPr>
        <w:t>附件</w:t>
      </w:r>
      <w:r>
        <w:rPr>
          <w:rFonts w:hint="eastAsia" w:ascii="Times New Roman" w:hAnsi="Times New Roman" w:eastAsia="仿宋_GB2312"/>
          <w:spacing w:val="-6"/>
          <w:kern w:val="0"/>
          <w:sz w:val="32"/>
          <w:szCs w:val="32"/>
          <w:lang w:val="en-US" w:eastAsia="zh-CN"/>
        </w:rPr>
        <w:t>1</w:t>
      </w:r>
    </w:p>
    <w:p>
      <w:pPr>
        <w:overflowPunct w:val="0"/>
        <w:spacing w:line="550" w:lineRule="exact"/>
        <w:jc w:val="left"/>
        <w:rPr>
          <w:rFonts w:hint="default" w:ascii="Times New Roman" w:hAnsi="Times New Roman" w:eastAsia="仿宋_GB2312"/>
          <w:spacing w:val="-6"/>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bottom"/>
        <w:outlineLvl w:val="9"/>
        <w:rPr>
          <w:rFonts w:hint="eastAsia" w:ascii="Times New Roman" w:hAnsi="Times New Roman" w:eastAsia="方正小标宋简体" w:cs="方正小标宋简体"/>
          <w:kern w:val="0"/>
          <w:sz w:val="44"/>
          <w:szCs w:val="20"/>
          <w:lang w:val="en-US" w:eastAsia="zh-CN"/>
        </w:rPr>
      </w:pPr>
      <w:r>
        <w:rPr>
          <w:rFonts w:hint="eastAsia" w:ascii="Times New Roman" w:hAnsi="Times New Roman" w:eastAsia="方正小标宋简体" w:cs="方正小标宋简体"/>
          <w:kern w:val="0"/>
          <w:sz w:val="44"/>
          <w:szCs w:val="20"/>
          <w:lang w:val="en-US" w:eastAsia="zh-CN"/>
        </w:rPr>
        <w:t>国家组织药品高值医用耗材集中采购工作中医保资金结余留用结算流程细则</w:t>
      </w:r>
    </w:p>
    <w:p>
      <w:pPr>
        <w:rPr>
          <w:rFonts w:hint="eastAsia"/>
          <w:lang w:val="en-US" w:eastAsia="zh-CN"/>
        </w:rPr>
      </w:pPr>
    </w:p>
    <w:p>
      <w:pPr>
        <w:autoSpaceDE w:val="0"/>
        <w:autoSpaceDN w:val="0"/>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一、实施范围</w:t>
      </w:r>
    </w:p>
    <w:p>
      <w:pPr>
        <w:autoSpaceDE w:val="0"/>
        <w:autoSpaceDN w:val="0"/>
        <w:spacing w:line="59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参加国家组织药品</w:t>
      </w:r>
      <w:r>
        <w:rPr>
          <w:rFonts w:hint="eastAsia" w:ascii="仿宋_GB2312" w:hAnsi="仿宋_GB2312" w:eastAsia="仿宋_GB2312" w:cs="仿宋_GB2312"/>
          <w:sz w:val="32"/>
          <w:szCs w:val="32"/>
          <w:lang w:eastAsia="zh-CN"/>
        </w:rPr>
        <w:t>、高值医用耗材</w:t>
      </w:r>
      <w:r>
        <w:rPr>
          <w:rFonts w:hint="eastAsia" w:ascii="仿宋_GB2312" w:hAnsi="仿宋_GB2312" w:eastAsia="仿宋_GB2312" w:cs="仿宋_GB2312"/>
          <w:sz w:val="32"/>
          <w:szCs w:val="32"/>
        </w:rPr>
        <w:t>集中采购工作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按要求报量并及时签订了带量购销合同的协议医疗机构（限开通住院结算业务的协议医疗机构），纳入结余留用工作考核和资金拨付范围。全市各级医保</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分别对</w:t>
      </w:r>
      <w:r>
        <w:rPr>
          <w:rFonts w:hint="eastAsia" w:ascii="仿宋_GB2312" w:eastAsia="仿宋_GB2312"/>
          <w:sz w:val="32"/>
          <w:szCs w:val="32"/>
        </w:rPr>
        <w:t>辖区内协议</w:t>
      </w:r>
      <w:r>
        <w:rPr>
          <w:rFonts w:hint="eastAsia" w:ascii="仿宋_GB2312" w:hAnsi="仿宋_GB2312" w:eastAsia="仿宋_GB2312" w:cs="仿宋_GB2312"/>
          <w:sz w:val="32"/>
          <w:szCs w:val="32"/>
        </w:rPr>
        <w:t>医疗机构开展集采药品</w:t>
      </w:r>
      <w:r>
        <w:rPr>
          <w:rFonts w:hint="eastAsia" w:ascii="仿宋_GB2312" w:hAnsi="仿宋_GB2312" w:eastAsia="仿宋_GB2312" w:cs="仿宋_GB2312"/>
          <w:sz w:val="32"/>
          <w:szCs w:val="32"/>
          <w:lang w:eastAsia="zh-CN"/>
        </w:rPr>
        <w:t>、高值医用耗材</w:t>
      </w:r>
      <w:r>
        <w:rPr>
          <w:rFonts w:hint="eastAsia" w:ascii="仿宋_GB2312" w:hAnsi="仿宋_GB2312" w:eastAsia="仿宋_GB2312" w:cs="仿宋_GB2312"/>
          <w:sz w:val="32"/>
          <w:szCs w:val="32"/>
        </w:rPr>
        <w:t>结余留用相关工作，其中市级医保</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负责</w:t>
      </w:r>
      <w:r>
        <w:rPr>
          <w:rFonts w:ascii="仿宋_GB2312" w:hAnsi="仿宋_GB2312" w:eastAsia="仿宋_GB2312" w:cs="仿宋_GB2312"/>
          <w:sz w:val="32"/>
          <w:szCs w:val="32"/>
        </w:rPr>
        <w:t>市区各</w:t>
      </w:r>
      <w:r>
        <w:rPr>
          <w:rFonts w:hint="eastAsia" w:ascii="仿宋_GB2312" w:hAnsi="仿宋_GB2312" w:eastAsia="仿宋_GB2312" w:cs="仿宋_GB2312"/>
          <w:sz w:val="32"/>
          <w:szCs w:val="32"/>
        </w:rPr>
        <w:t>协议</w:t>
      </w:r>
      <w:r>
        <w:rPr>
          <w:rFonts w:ascii="仿宋_GB2312" w:hAnsi="仿宋_GB2312" w:eastAsia="仿宋_GB2312" w:cs="仿宋_GB2312"/>
          <w:sz w:val="32"/>
          <w:szCs w:val="32"/>
        </w:rPr>
        <w:t>医疗机构</w:t>
      </w:r>
      <w:r>
        <w:rPr>
          <w:rFonts w:hint="eastAsia" w:ascii="仿宋_GB2312" w:hAnsi="仿宋_GB2312" w:eastAsia="仿宋_GB2312" w:cs="仿宋_GB2312"/>
          <w:sz w:val="32"/>
          <w:szCs w:val="32"/>
        </w:rPr>
        <w:t>（社区</w:t>
      </w:r>
      <w:r>
        <w:rPr>
          <w:rFonts w:ascii="仿宋_GB2312" w:hAnsi="仿宋_GB2312" w:eastAsia="仿宋_GB2312" w:cs="仿宋_GB2312"/>
          <w:sz w:val="32"/>
          <w:szCs w:val="32"/>
        </w:rPr>
        <w:t>卫生服务中心和卫生院除外），</w:t>
      </w:r>
      <w:r>
        <w:rPr>
          <w:rFonts w:hint="eastAsia" w:ascii="仿宋_GB2312" w:hAnsi="仿宋_GB2312" w:eastAsia="仿宋_GB2312" w:cs="仿宋_GB2312"/>
          <w:sz w:val="32"/>
          <w:szCs w:val="32"/>
        </w:rPr>
        <w:t>各</w:t>
      </w:r>
      <w:r>
        <w:rPr>
          <w:rFonts w:ascii="仿宋_GB2312" w:hAnsi="仿宋_GB2312" w:eastAsia="仿宋_GB2312" w:cs="仿宋_GB2312"/>
          <w:sz w:val="32"/>
          <w:szCs w:val="32"/>
        </w:rPr>
        <w:t>区医保部门负责</w:t>
      </w:r>
      <w:r>
        <w:rPr>
          <w:rFonts w:hint="eastAsia" w:ascii="仿宋_GB2312" w:eastAsia="仿宋_GB2312"/>
          <w:sz w:val="32"/>
          <w:szCs w:val="32"/>
        </w:rPr>
        <w:t>辖区内所</w:t>
      </w:r>
      <w:r>
        <w:rPr>
          <w:rFonts w:ascii="仿宋_GB2312" w:eastAsia="仿宋_GB2312"/>
          <w:sz w:val="32"/>
          <w:szCs w:val="32"/>
        </w:rPr>
        <w:t>有</w:t>
      </w:r>
      <w:r>
        <w:rPr>
          <w:rFonts w:hint="eastAsia" w:ascii="仿宋_GB2312" w:hAnsi="仿宋_GB2312" w:eastAsia="仿宋_GB2312" w:cs="仿宋_GB2312"/>
          <w:sz w:val="32"/>
          <w:szCs w:val="32"/>
        </w:rPr>
        <w:t>社区</w:t>
      </w:r>
      <w:r>
        <w:rPr>
          <w:rFonts w:ascii="仿宋_GB2312" w:hAnsi="仿宋_GB2312" w:eastAsia="仿宋_GB2312" w:cs="仿宋_GB2312"/>
          <w:sz w:val="32"/>
          <w:szCs w:val="32"/>
        </w:rPr>
        <w:t>卫生服务中心和卫生院</w:t>
      </w:r>
      <w:r>
        <w:rPr>
          <w:rFonts w:hint="eastAsia" w:ascii="仿宋_GB2312" w:eastAsia="仿宋_GB2312"/>
          <w:sz w:val="32"/>
          <w:szCs w:val="32"/>
        </w:rPr>
        <w:t>，各</w:t>
      </w:r>
      <w:r>
        <w:rPr>
          <w:rFonts w:ascii="仿宋_GB2312" w:eastAsia="仿宋_GB2312"/>
          <w:sz w:val="32"/>
          <w:szCs w:val="32"/>
        </w:rPr>
        <w:t>县市及</w:t>
      </w:r>
      <w:r>
        <w:rPr>
          <w:rFonts w:hint="eastAsia" w:ascii="仿宋_GB2312" w:eastAsia="仿宋_GB2312"/>
          <w:sz w:val="32"/>
          <w:szCs w:val="32"/>
        </w:rPr>
        <w:t>渌口区负责辖区内所有医疗机构。</w:t>
      </w:r>
    </w:p>
    <w:p>
      <w:pPr>
        <w:autoSpaceDE w:val="0"/>
        <w:autoSpaceDN w:val="0"/>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二、考核指标和拨付标准</w:t>
      </w:r>
    </w:p>
    <w:p>
      <w:pPr>
        <w:keepNext w:val="0"/>
        <w:keepLines w:val="0"/>
        <w:widowControl/>
        <w:suppressLineNumbers w:val="0"/>
        <w:ind w:firstLine="620" w:firstLineChars="200"/>
        <w:jc w:val="left"/>
        <w:rPr>
          <w:rFonts w:ascii="仿宋_GB2312" w:hAnsi="仿宋_GB2312" w:eastAsia="仿宋_GB2312" w:cs="仿宋_GB2312"/>
          <w:sz w:val="32"/>
          <w:szCs w:val="32"/>
        </w:rPr>
      </w:pPr>
      <w:r>
        <w:rPr>
          <w:rFonts w:ascii="仿宋_GB2312" w:hAnsi="宋体" w:eastAsia="仿宋_GB2312" w:cs="仿宋_GB2312"/>
          <w:color w:val="000000"/>
          <w:kern w:val="0"/>
          <w:sz w:val="31"/>
          <w:szCs w:val="31"/>
          <w:lang w:val="en-US" w:eastAsia="zh-CN" w:bidi="ar"/>
        </w:rPr>
        <w:t>对协议公立医疗卫生机构的考核指标和相应分值按</w:t>
      </w:r>
      <w:r>
        <w:rPr>
          <w:rFonts w:hint="eastAsia" w:ascii="仿宋_GB2312" w:hAnsi="宋体" w:eastAsia="仿宋_GB2312" w:cs="仿宋_GB2312"/>
          <w:color w:val="000000"/>
          <w:kern w:val="0"/>
          <w:sz w:val="31"/>
          <w:szCs w:val="31"/>
          <w:lang w:val="en-US" w:eastAsia="zh-CN" w:bidi="ar"/>
        </w:rPr>
        <w:t>附件1执行，考核总分</w:t>
      </w:r>
      <w:r>
        <w:rPr>
          <w:rFonts w:hint="default" w:ascii="Times New Roman" w:hAnsi="Times New Roman" w:eastAsia="宋体" w:cs="Times New Roman"/>
          <w:color w:val="000000"/>
          <w:kern w:val="0"/>
          <w:sz w:val="31"/>
          <w:szCs w:val="31"/>
          <w:lang w:val="en-US" w:eastAsia="zh-CN" w:bidi="ar"/>
        </w:rPr>
        <w:t>100</w:t>
      </w:r>
      <w:r>
        <w:rPr>
          <w:rFonts w:hint="eastAsia" w:ascii="仿宋_GB2312" w:hAnsi="宋体" w:eastAsia="仿宋_GB2312" w:cs="仿宋_GB2312"/>
          <w:color w:val="000000"/>
          <w:kern w:val="0"/>
          <w:sz w:val="31"/>
          <w:szCs w:val="31"/>
          <w:lang w:val="en-US" w:eastAsia="zh-CN" w:bidi="ar"/>
        </w:rPr>
        <w:t>分，合格线为</w:t>
      </w:r>
      <w:r>
        <w:rPr>
          <w:rFonts w:hint="default" w:ascii="Times New Roman" w:hAnsi="Times New Roman" w:eastAsia="宋体" w:cs="Times New Roman"/>
          <w:color w:val="000000"/>
          <w:kern w:val="0"/>
          <w:sz w:val="31"/>
          <w:szCs w:val="31"/>
          <w:lang w:val="en-US" w:eastAsia="zh-CN" w:bidi="ar"/>
        </w:rPr>
        <w:t>60</w:t>
      </w:r>
      <w:r>
        <w:rPr>
          <w:rFonts w:hint="eastAsia" w:ascii="仿宋_GB2312" w:hAnsi="宋体" w:eastAsia="仿宋_GB2312" w:cs="仿宋_GB2312"/>
          <w:color w:val="000000"/>
          <w:kern w:val="0"/>
          <w:sz w:val="31"/>
          <w:szCs w:val="31"/>
          <w:lang w:val="en-US" w:eastAsia="zh-CN" w:bidi="ar"/>
        </w:rPr>
        <w:t>分。由各级医保经办机构根据考核结果向协议医疗机构支付结余留用医保资金。</w:t>
      </w:r>
    </w:p>
    <w:p>
      <w:pPr>
        <w:autoSpaceDE w:val="0"/>
        <w:autoSpaceDN w:val="0"/>
        <w:spacing w:line="594"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（一）考核得分≥</w:t>
      </w:r>
      <w:r>
        <w:rPr>
          <w:rFonts w:ascii="仿宋_GB2312" w:hAnsi="仿宋_GB2312" w:eastAsia="仿宋_GB2312" w:cs="仿宋_GB2312"/>
          <w:sz w:val="32"/>
        </w:rPr>
        <w:t>80</w:t>
      </w:r>
      <w:r>
        <w:rPr>
          <w:rFonts w:hint="eastAsia" w:ascii="仿宋_GB2312" w:hAnsi="仿宋_GB2312" w:eastAsia="仿宋_GB2312" w:cs="仿宋_GB2312"/>
          <w:sz w:val="32"/>
        </w:rPr>
        <w:t>分，按结余测算基数的</w:t>
      </w:r>
      <w:r>
        <w:rPr>
          <w:rFonts w:ascii="仿宋_GB2312" w:hAnsi="仿宋_GB2312" w:eastAsia="仿宋_GB2312" w:cs="仿宋_GB2312"/>
          <w:sz w:val="32"/>
        </w:rPr>
        <w:t>50%</w:t>
      </w:r>
      <w:r>
        <w:rPr>
          <w:rFonts w:hint="eastAsia" w:ascii="仿宋_GB2312" w:hAnsi="仿宋_GB2312" w:eastAsia="仿宋_GB2312" w:cs="仿宋_GB2312"/>
          <w:sz w:val="32"/>
        </w:rPr>
        <w:t>向协议医疗机构支付结余留用医保资金。</w:t>
      </w:r>
    </w:p>
    <w:p>
      <w:pPr>
        <w:autoSpaceDE w:val="0"/>
        <w:autoSpaceDN w:val="0"/>
        <w:spacing w:line="594"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（二）考核得分≥</w:t>
      </w:r>
      <w:r>
        <w:rPr>
          <w:rFonts w:ascii="仿宋_GB2312" w:hAnsi="仿宋_GB2312" w:eastAsia="仿宋_GB2312" w:cs="仿宋_GB2312"/>
          <w:sz w:val="32"/>
        </w:rPr>
        <w:t>60</w:t>
      </w:r>
      <w:r>
        <w:rPr>
          <w:rFonts w:hint="eastAsia" w:ascii="仿宋_GB2312" w:hAnsi="仿宋_GB2312" w:eastAsia="仿宋_GB2312" w:cs="仿宋_GB2312"/>
          <w:sz w:val="32"/>
        </w:rPr>
        <w:t>分且</w:t>
      </w:r>
      <w:r>
        <w:rPr>
          <w:rFonts w:hint="eastAsia" w:ascii="仿宋_GB2312" w:hAnsi="仿宋" w:eastAsia="仿宋_GB2312"/>
          <w:sz w:val="32"/>
          <w:szCs w:val="32"/>
        </w:rPr>
        <w:t>＜</w:t>
      </w:r>
      <w:r>
        <w:rPr>
          <w:rFonts w:ascii="仿宋_GB2312" w:hAnsi="仿宋" w:eastAsia="仿宋_GB2312"/>
          <w:sz w:val="32"/>
          <w:szCs w:val="32"/>
        </w:rPr>
        <w:t>80</w:t>
      </w:r>
      <w:r>
        <w:rPr>
          <w:rFonts w:hint="eastAsia" w:ascii="仿宋_GB2312" w:hAnsi="仿宋" w:eastAsia="仿宋_GB2312"/>
          <w:sz w:val="32"/>
          <w:szCs w:val="32"/>
        </w:rPr>
        <w:t>分，</w:t>
      </w:r>
      <w:r>
        <w:rPr>
          <w:rFonts w:hint="eastAsia" w:ascii="仿宋_GB2312" w:hAnsi="仿宋_GB2312" w:eastAsia="仿宋_GB2312" w:cs="仿宋_GB2312"/>
          <w:sz w:val="32"/>
        </w:rPr>
        <w:t>按结余测算基数的</w:t>
      </w:r>
      <w:r>
        <w:rPr>
          <w:rFonts w:ascii="仿宋_GB2312" w:hAnsi="仿宋_GB2312" w:eastAsia="仿宋_GB2312" w:cs="仿宋_GB2312"/>
          <w:sz w:val="32"/>
        </w:rPr>
        <w:t>30%</w:t>
      </w:r>
      <w:r>
        <w:rPr>
          <w:rFonts w:hint="eastAsia" w:ascii="仿宋_GB2312" w:hAnsi="仿宋_GB2312" w:eastAsia="仿宋_GB2312" w:cs="仿宋_GB2312"/>
          <w:sz w:val="32"/>
        </w:rPr>
        <w:t>支付结余留用医保资金。</w:t>
      </w:r>
    </w:p>
    <w:p>
      <w:pPr>
        <w:autoSpaceDE w:val="0"/>
        <w:autoSpaceDN w:val="0"/>
        <w:spacing w:line="594"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（三）考核得分</w:t>
      </w:r>
      <w:r>
        <w:rPr>
          <w:rFonts w:hint="eastAsia" w:ascii="仿宋_GB2312" w:hAnsi="仿宋" w:eastAsia="仿宋_GB2312"/>
          <w:sz w:val="32"/>
          <w:szCs w:val="32"/>
        </w:rPr>
        <w:t>＜</w:t>
      </w:r>
      <w:r>
        <w:rPr>
          <w:rFonts w:ascii="仿宋_GB2312" w:hAnsi="仿宋" w:eastAsia="仿宋_GB2312"/>
          <w:sz w:val="32"/>
          <w:szCs w:val="32"/>
        </w:rPr>
        <w:t>60</w:t>
      </w:r>
      <w:r>
        <w:rPr>
          <w:rFonts w:hint="eastAsia" w:ascii="仿宋_GB2312" w:hAnsi="仿宋" w:eastAsia="仿宋_GB2312"/>
          <w:sz w:val="32"/>
          <w:szCs w:val="32"/>
        </w:rPr>
        <w:t>分，不予支付结余留用医保资金。</w:t>
      </w:r>
    </w:p>
    <w:p>
      <w:pPr>
        <w:autoSpaceDE w:val="0"/>
        <w:autoSpaceDN w:val="0"/>
        <w:spacing w:line="594"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（四）未完成约定采购量时，该中选</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不核算结余留用医保资金；线下采购占比超过</w:t>
      </w:r>
      <w:r>
        <w:rPr>
          <w:rFonts w:hint="eastAsia" w:ascii="仿宋_GB2312" w:hAnsi="仿宋_GB2312" w:eastAsia="仿宋_GB2312" w:cs="仿宋_GB2312"/>
          <w:sz w:val="32"/>
          <w:szCs w:val="32"/>
          <w:lang w:val="en-US" w:eastAsia="zh-CN"/>
        </w:rPr>
        <w:t>0%、未完成约定量产品数药品超过15%、耗材10%以及集采高值耗材相关手术患者住院次均费用较上年涨幅超过价格指数涨幅时，该批次所有中选产品不核算结余留用资金；结余留用医保资金与通用名药品、同类高值耗材医保实际支出金额之和不得超过集采产品医保资金预算。</w:t>
      </w:r>
    </w:p>
    <w:p>
      <w:pPr>
        <w:autoSpaceDE w:val="0"/>
        <w:autoSpaceDN w:val="0"/>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三、计算公式和参数</w:t>
      </w:r>
    </w:p>
    <w:p>
      <w:pPr>
        <w:autoSpaceDE w:val="0"/>
        <w:autoSpaceDN w:val="0"/>
        <w:spacing w:line="594"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（一）计算公式</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．集采药品</w:t>
      </w:r>
      <w:r>
        <w:rPr>
          <w:rFonts w:hint="eastAsia" w:ascii="仿宋_GB2312" w:hAnsi="仿宋_GB2312" w:eastAsia="仿宋_GB2312" w:cs="仿宋_GB2312"/>
          <w:sz w:val="32"/>
          <w:szCs w:val="32"/>
          <w:lang w:val="en-US" w:eastAsia="zh-CN"/>
        </w:rPr>
        <w:t>（高值耗材)</w:t>
      </w:r>
      <w:r>
        <w:rPr>
          <w:rFonts w:hint="eastAsia" w:ascii="仿宋_GB2312" w:hAnsi="仿宋_GB2312" w:eastAsia="仿宋_GB2312" w:cs="仿宋_GB2312"/>
          <w:sz w:val="32"/>
          <w:szCs w:val="32"/>
        </w:rPr>
        <w:t>医保资金预算＝约定采购量基数×集采前通用名药品</w:t>
      </w:r>
      <w:r>
        <w:rPr>
          <w:rFonts w:hint="eastAsia" w:ascii="仿宋_GB2312" w:hAnsi="仿宋_GB2312" w:eastAsia="仿宋_GB2312" w:cs="仿宋_GB2312"/>
          <w:sz w:val="32"/>
          <w:szCs w:val="32"/>
          <w:lang w:val="en-US" w:eastAsia="zh-CN"/>
        </w:rPr>
        <w:t>(高值耗材)</w:t>
      </w:r>
      <w:r>
        <w:rPr>
          <w:rFonts w:hint="eastAsia" w:ascii="仿宋_GB2312" w:hAnsi="仿宋_GB2312" w:eastAsia="仿宋_GB2312" w:cs="仿宋_GB2312"/>
          <w:sz w:val="32"/>
          <w:szCs w:val="32"/>
        </w:rPr>
        <w:t>加权平均价格×集采药品</w:t>
      </w:r>
      <w:r>
        <w:rPr>
          <w:rFonts w:hint="eastAsia" w:ascii="仿宋_GB2312" w:hAnsi="仿宋_GB2312" w:eastAsia="仿宋_GB2312" w:cs="仿宋_GB2312"/>
          <w:sz w:val="32"/>
          <w:szCs w:val="32"/>
          <w:lang w:val="en-US" w:eastAsia="zh-CN"/>
        </w:rPr>
        <w:t>(高值耗材)</w:t>
      </w:r>
      <w:r>
        <w:rPr>
          <w:rFonts w:hint="eastAsia" w:ascii="仿宋_GB2312" w:hAnsi="仿宋_GB2312" w:eastAsia="仿宋_GB2312" w:cs="仿宋_GB2312"/>
          <w:sz w:val="32"/>
          <w:szCs w:val="32"/>
        </w:rPr>
        <w:t>支付比例×</w:t>
      </w:r>
      <w:r>
        <w:rPr>
          <w:rFonts w:hint="eastAsia" w:ascii="仿宋_GB2312" w:hAnsi="仿宋_GB2312" w:eastAsia="仿宋_GB2312" w:cs="仿宋_GB2312"/>
          <w:sz w:val="32"/>
          <w:szCs w:val="32"/>
          <w:lang w:eastAsia="zh-CN"/>
        </w:rPr>
        <w:t>统筹</w:t>
      </w:r>
      <w:r>
        <w:rPr>
          <w:rFonts w:hint="eastAsia" w:ascii="仿宋_GB2312" w:hAnsi="仿宋_GB2312" w:eastAsia="仿宋_GB2312" w:cs="仿宋_GB2312"/>
          <w:sz w:val="32"/>
          <w:szCs w:val="32"/>
        </w:rPr>
        <w:t>区参保患者人次占比。</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．结余测算基数＝集采药品</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高值耗材</w:t>
      </w:r>
      <w:r>
        <w:rPr>
          <w:rFonts w:hint="eastAsia" w:ascii="仿宋_GB2312" w:hAnsi="仿宋_GB2312" w:eastAsia="仿宋_GB2312" w:cs="仿宋_GB2312"/>
          <w:sz w:val="32"/>
          <w:szCs w:val="32"/>
        </w:rPr>
        <w:t>医保资金预算－（中选产品</w:t>
      </w:r>
      <w:r>
        <w:rPr>
          <w:rFonts w:hint="eastAsia" w:ascii="仿宋_GB2312" w:hAnsi="仿宋_GB2312" w:eastAsia="仿宋_GB2312" w:cs="仿宋_GB2312"/>
          <w:sz w:val="32"/>
          <w:szCs w:val="32"/>
          <w:lang w:val="en-US" w:eastAsia="zh-CN"/>
        </w:rPr>
        <w:t>或集采高值耗材</w:t>
      </w:r>
      <w:r>
        <w:rPr>
          <w:rFonts w:hint="eastAsia" w:ascii="仿宋_GB2312" w:hAnsi="仿宋_GB2312" w:eastAsia="仿宋_GB2312" w:cs="仿宋_GB2312"/>
          <w:sz w:val="32"/>
          <w:szCs w:val="32"/>
        </w:rPr>
        <w:t>约定采购量×中选价格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非中选产品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使用金额）×集采药品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支付比例×</w:t>
      </w:r>
      <w:r>
        <w:rPr>
          <w:rFonts w:hint="eastAsia" w:ascii="仿宋_GB2312" w:hAnsi="仿宋_GB2312" w:eastAsia="仿宋_GB2312" w:cs="仿宋_GB2312"/>
          <w:sz w:val="32"/>
          <w:szCs w:val="32"/>
          <w:lang w:eastAsia="zh-CN"/>
        </w:rPr>
        <w:t>统筹</w:t>
      </w:r>
      <w:r>
        <w:rPr>
          <w:rFonts w:hint="eastAsia" w:ascii="仿宋_GB2312" w:hAnsi="仿宋_GB2312" w:eastAsia="仿宋_GB2312" w:cs="仿宋_GB2312"/>
          <w:sz w:val="32"/>
          <w:szCs w:val="32"/>
        </w:rPr>
        <w:t>区参保患者人次占比。</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．结余留用金额＝结余测算基数×结余留用比例。</w:t>
      </w:r>
    </w:p>
    <w:p>
      <w:pPr>
        <w:autoSpaceDE w:val="0"/>
        <w:autoSpaceDN w:val="0"/>
        <w:spacing w:line="594"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（二）计算参数</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．约定采购量基数：由医疗机构上报并经医保部门核准后的预采购量</w:t>
      </w:r>
      <w:r>
        <w:rPr>
          <w:rFonts w:hint="eastAsia" w:ascii="仿宋_GB2312" w:hAnsi="仿宋_GB2312" w:eastAsia="仿宋_GB2312" w:cs="仿宋_GB2312"/>
          <w:sz w:val="32"/>
          <w:szCs w:val="32"/>
          <w:lang w:eastAsia="zh-CN"/>
        </w:rPr>
        <w:t>（未乘以带量采购比例）</w:t>
      </w:r>
      <w:r>
        <w:rPr>
          <w:rFonts w:hint="eastAsia" w:ascii="仿宋_GB2312" w:hAnsi="仿宋_GB2312" w:eastAsia="仿宋_GB2312" w:cs="仿宋_GB2312"/>
          <w:sz w:val="32"/>
          <w:szCs w:val="32"/>
        </w:rPr>
        <w:t>，应与带量购销合同数据保持口径一致。（市</w:t>
      </w:r>
      <w:r>
        <w:rPr>
          <w:rFonts w:ascii="仿宋_GB2312" w:hAnsi="仿宋_GB2312" w:eastAsia="仿宋_GB2312" w:cs="仿宋_GB2312"/>
          <w:sz w:val="32"/>
          <w:szCs w:val="32"/>
        </w:rPr>
        <w:t>医疗保障局</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．集采前通用名药品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加权平均价格：采用上海联采办公布的“集采药品最高有效申报价”</w:t>
      </w:r>
      <w:r>
        <w:rPr>
          <w:rFonts w:hint="eastAsia" w:ascii="仿宋_GB2312" w:hAnsi="仿宋_GB2312" w:eastAsia="仿宋_GB2312" w:cs="仿宋_GB2312"/>
          <w:sz w:val="32"/>
          <w:szCs w:val="32"/>
          <w:lang w:val="en-US" w:eastAsia="zh-CN"/>
        </w:rPr>
        <w:t>或采用省平台上年度医疗机构同类产品采购平均价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省医疗保障局</w:t>
      </w:r>
      <w:r>
        <w:rPr>
          <w:rFonts w:hint="eastAsia" w:ascii="仿宋_GB2312" w:hAnsi="仿宋_GB2312" w:eastAsia="仿宋_GB2312" w:cs="仿宋_GB2312"/>
          <w:sz w:val="32"/>
          <w:szCs w:val="32"/>
          <w:lang w:val="en-US" w:eastAsia="zh-CN"/>
        </w:rPr>
        <w:t>或省医保招采子系统</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．集采药品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支付比例：各集采药品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支付比例暂定为</w:t>
      </w:r>
      <w:r>
        <w:rPr>
          <w:rFonts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CN"/>
        </w:rPr>
        <w:t>或70%</w:t>
      </w:r>
      <w:r>
        <w:rPr>
          <w:rFonts w:hint="eastAsia" w:ascii="仿宋_GB2312" w:hAnsi="仿宋_GB2312" w:eastAsia="仿宋_GB2312" w:cs="仿宋_GB2312"/>
          <w:sz w:val="32"/>
          <w:szCs w:val="32"/>
        </w:rPr>
        <w:t>。</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．统筹地区参保患者人次占比：参保患者人次占比三</w:t>
      </w:r>
      <w:r>
        <w:rPr>
          <w:rFonts w:ascii="仿宋_GB2312" w:hAnsi="仿宋_GB2312" w:eastAsia="仿宋_GB2312" w:cs="仿宋_GB2312"/>
          <w:sz w:val="32"/>
          <w:szCs w:val="32"/>
        </w:rPr>
        <w:t>级医院暂定为85%</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级医院暂定为</w:t>
      </w:r>
      <w:r>
        <w:rPr>
          <w:rFonts w:hint="eastAsia" w:ascii="仿宋_GB2312" w:hAnsi="仿宋_GB2312" w:eastAsia="仿宋_GB2312" w:cs="仿宋_GB2312"/>
          <w:sz w:val="32"/>
          <w:szCs w:val="32"/>
        </w:rPr>
        <w:t>90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其它</w:t>
      </w:r>
      <w:r>
        <w:rPr>
          <w:rFonts w:ascii="仿宋_GB2312" w:hAnsi="仿宋_GB2312" w:eastAsia="仿宋_GB2312" w:cs="仿宋_GB2312"/>
          <w:sz w:val="32"/>
          <w:szCs w:val="32"/>
        </w:rPr>
        <w:t>医疗机构</w:t>
      </w:r>
      <w:r>
        <w:rPr>
          <w:rFonts w:hint="eastAsia" w:ascii="仿宋_GB2312" w:hAnsi="仿宋_GB2312" w:eastAsia="仿宋_GB2312" w:cs="仿宋_GB2312"/>
          <w:sz w:val="32"/>
          <w:szCs w:val="32"/>
        </w:rPr>
        <w:t>暂</w:t>
      </w:r>
      <w:r>
        <w:rPr>
          <w:rFonts w:ascii="仿宋_GB2312" w:hAnsi="仿宋_GB2312" w:eastAsia="仿宋_GB2312" w:cs="仿宋_GB2312"/>
          <w:sz w:val="32"/>
          <w:szCs w:val="32"/>
        </w:rPr>
        <w:t>定</w:t>
      </w:r>
      <w:r>
        <w:rPr>
          <w:rFonts w:hint="eastAsia" w:ascii="仿宋_GB2312" w:hAnsi="仿宋_GB2312" w:eastAsia="仿宋_GB2312" w:cs="仿宋_GB2312"/>
          <w:sz w:val="32"/>
          <w:szCs w:val="32"/>
        </w:rPr>
        <w:t>为100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，无基本医疗保险参保患者出院人次的为0。</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．中选产品</w:t>
      </w:r>
      <w:r>
        <w:rPr>
          <w:rFonts w:hint="eastAsia" w:ascii="仿宋_GB2312" w:hAnsi="仿宋_GB2312" w:eastAsia="仿宋_GB2312" w:cs="仿宋_GB2312"/>
          <w:sz w:val="32"/>
          <w:szCs w:val="32"/>
          <w:lang w:val="en-US" w:eastAsia="zh-CN"/>
        </w:rPr>
        <w:t>或集采高值耗材</w:t>
      </w:r>
      <w:r>
        <w:rPr>
          <w:rFonts w:hint="eastAsia" w:ascii="仿宋_GB2312" w:hAnsi="仿宋_GB2312" w:eastAsia="仿宋_GB2312" w:cs="仿宋_GB2312"/>
          <w:sz w:val="32"/>
          <w:szCs w:val="32"/>
        </w:rPr>
        <w:t>约定采购量：按带量购销合同量数据统计。其中，实际完成情况</w:t>
      </w:r>
      <w:r>
        <w:rPr>
          <w:rFonts w:hint="eastAsia" w:ascii="仿宋_GB2312" w:hAnsi="仿宋_GB2312" w:eastAsia="仿宋_GB2312" w:cs="仿宋_GB2312"/>
          <w:sz w:val="32"/>
          <w:szCs w:val="32"/>
          <w:lang w:eastAsia="zh-CN"/>
        </w:rPr>
        <w:t>（线上采购量）</w:t>
      </w:r>
      <w:r>
        <w:rPr>
          <w:rFonts w:hint="eastAsia" w:ascii="仿宋_GB2312" w:hAnsi="仿宋_GB2312" w:eastAsia="仿宋_GB2312" w:cs="仿宋_GB2312"/>
          <w:sz w:val="32"/>
          <w:szCs w:val="32"/>
        </w:rPr>
        <w:t>低于带量购销合同量时，不核算该中选</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结余留用医保资金；实际完成情况</w:t>
      </w:r>
      <w:r>
        <w:rPr>
          <w:rFonts w:hint="eastAsia" w:ascii="仿宋_GB2312" w:hAnsi="仿宋_GB2312" w:eastAsia="仿宋_GB2312" w:cs="仿宋_GB2312"/>
          <w:sz w:val="32"/>
          <w:szCs w:val="32"/>
          <w:lang w:eastAsia="zh-CN"/>
        </w:rPr>
        <w:t>（线上采购量）</w:t>
      </w:r>
      <w:r>
        <w:rPr>
          <w:rFonts w:hint="eastAsia" w:ascii="仿宋_GB2312" w:hAnsi="仿宋_GB2312" w:eastAsia="仿宋_GB2312" w:cs="仿宋_GB2312"/>
          <w:sz w:val="32"/>
          <w:szCs w:val="32"/>
        </w:rPr>
        <w:t>高于带量购销合同量时，按带量购销合同量核算。（市</w:t>
      </w:r>
      <w:r>
        <w:rPr>
          <w:rFonts w:ascii="仿宋_GB2312" w:hAnsi="仿宋_GB2312" w:eastAsia="仿宋_GB2312" w:cs="仿宋_GB2312"/>
          <w:sz w:val="32"/>
          <w:szCs w:val="32"/>
        </w:rPr>
        <w:t>医疗保障局</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．中选价格：国家组织集采药品中选结果</w:t>
      </w:r>
      <w:r>
        <w:rPr>
          <w:rFonts w:hint="eastAsia" w:ascii="仿宋_GB2312" w:hAnsi="仿宋_GB2312" w:eastAsia="仿宋_GB2312" w:cs="仿宋_GB2312"/>
          <w:sz w:val="32"/>
          <w:szCs w:val="32"/>
          <w:lang w:val="en-US" w:eastAsia="zh-CN"/>
        </w:rPr>
        <w:t>或集采高值耗材中选结果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省医疗保障局</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．非中选产品</w:t>
      </w:r>
      <w:r>
        <w:rPr>
          <w:rFonts w:hint="eastAsia" w:ascii="仿宋_GB2312" w:hAnsi="仿宋_GB2312" w:eastAsia="仿宋_GB2312" w:cs="仿宋_GB2312"/>
          <w:sz w:val="32"/>
          <w:szCs w:val="32"/>
          <w:lang w:val="en-US" w:eastAsia="zh-CN"/>
        </w:rPr>
        <w:t>或高值耗材</w:t>
      </w:r>
      <w:r>
        <w:rPr>
          <w:rFonts w:hint="eastAsia" w:ascii="仿宋_GB2312" w:hAnsi="仿宋_GB2312" w:eastAsia="仿宋_GB2312" w:cs="仿宋_GB2312"/>
          <w:sz w:val="32"/>
          <w:szCs w:val="32"/>
        </w:rPr>
        <w:t>使用金额：同通用名、同招标剂型非中选产品各规格</w:t>
      </w:r>
      <w:r>
        <w:rPr>
          <w:rFonts w:hint="eastAsia" w:ascii="仿宋_GB2312" w:hAnsi="仿宋_GB2312" w:eastAsia="仿宋_GB2312" w:cs="仿宋_GB2312"/>
          <w:sz w:val="32"/>
          <w:szCs w:val="32"/>
          <w:lang w:val="en-US" w:eastAsia="zh-CN"/>
        </w:rPr>
        <w:t>或统一采购品种（不区分竞价组）非中选高值耗材</w:t>
      </w:r>
      <w:r>
        <w:rPr>
          <w:rFonts w:hint="eastAsia" w:ascii="仿宋_GB2312" w:hAnsi="仿宋_GB2312" w:eastAsia="仿宋_GB2312" w:cs="仿宋_GB2312"/>
          <w:sz w:val="32"/>
          <w:szCs w:val="32"/>
        </w:rPr>
        <w:t>在该医疗机构采购总金额。（各医疗</w:t>
      </w:r>
      <w:r>
        <w:rPr>
          <w:rFonts w:ascii="仿宋_GB2312" w:hAnsi="仿宋_GB2312" w:eastAsia="仿宋_GB2312" w:cs="仿宋_GB2312"/>
          <w:sz w:val="32"/>
          <w:szCs w:val="32"/>
        </w:rPr>
        <w:t>机构</w:t>
      </w:r>
      <w:r>
        <w:rPr>
          <w:rFonts w:hint="eastAsia" w:ascii="仿宋_GB2312" w:hAnsi="仿宋_GB2312" w:eastAsia="仿宋_GB2312" w:cs="仿宋_GB2312"/>
          <w:sz w:val="32"/>
          <w:szCs w:val="32"/>
        </w:rPr>
        <w:t>统报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各医疗</w:t>
      </w:r>
      <w:r>
        <w:rPr>
          <w:rFonts w:ascii="仿宋_GB2312" w:hAnsi="仿宋_GB2312" w:eastAsia="仿宋_GB2312" w:cs="仿宋_GB2312"/>
          <w:sz w:val="32"/>
          <w:szCs w:val="32"/>
        </w:rPr>
        <w:t>保障局复核）</w:t>
      </w:r>
    </w:p>
    <w:p>
      <w:pPr>
        <w:autoSpaceDE w:val="0"/>
        <w:autoSpaceDN w:val="0"/>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．结余留用比例：具体</w:t>
      </w:r>
      <w:r>
        <w:rPr>
          <w:rFonts w:ascii="仿宋_GB2312" w:hAnsi="仿宋_GB2312" w:eastAsia="仿宋_GB2312" w:cs="仿宋_GB2312"/>
          <w:sz w:val="32"/>
          <w:szCs w:val="32"/>
        </w:rPr>
        <w:t>留用比例根据各协议医疗机构考核结果，按不高于50%</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比例确定</w:t>
      </w:r>
      <w:r>
        <w:rPr>
          <w:rFonts w:hint="eastAsia" w:ascii="仿宋_GB2312" w:hAnsi="仿宋_GB2312" w:eastAsia="仿宋_GB2312" w:cs="仿宋_GB2312"/>
          <w:sz w:val="32"/>
          <w:szCs w:val="32"/>
        </w:rPr>
        <w:t>。（各医疗</w:t>
      </w:r>
      <w:r>
        <w:rPr>
          <w:rFonts w:ascii="仿宋_GB2312" w:hAnsi="仿宋_GB2312" w:eastAsia="仿宋_GB2312" w:cs="仿宋_GB2312"/>
          <w:sz w:val="32"/>
          <w:szCs w:val="32"/>
        </w:rPr>
        <w:t>保障局提供）</w:t>
      </w:r>
    </w:p>
    <w:p>
      <w:pPr>
        <w:autoSpaceDE w:val="0"/>
        <w:autoSpaceDN w:val="0"/>
        <w:spacing w:line="594"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四、工作流程</w:t>
      </w:r>
    </w:p>
    <w:p>
      <w:pPr>
        <w:autoSpaceDE w:val="0"/>
        <w:autoSpaceDN w:val="0"/>
        <w:spacing w:line="594"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（一）医疗机构申报</w:t>
      </w:r>
    </w:p>
    <w:p>
      <w:pPr>
        <w:autoSpaceDE w:val="0"/>
        <w:autoSpaceDN w:val="0"/>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相关协议医疗机构在集采药品协议期满后</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个月内，通过对考核指标进行自评，依据计算参数自行测算结余留用资金，按品种提交相关资料和结余留用资金申请报告。</w:t>
      </w:r>
    </w:p>
    <w:p>
      <w:pPr>
        <w:autoSpaceDE w:val="0"/>
        <w:autoSpaceDN w:val="0"/>
        <w:spacing w:line="594"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（二）经办机构考核</w:t>
      </w:r>
    </w:p>
    <w:p>
      <w:pPr>
        <w:autoSpaceDE w:val="0"/>
        <w:autoSpaceDN w:val="0"/>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rPr>
        <w:t>各医保经办机构在接收</w:t>
      </w:r>
      <w:r>
        <w:rPr>
          <w:rFonts w:hint="eastAsia" w:ascii="仿宋_GB2312" w:hAnsi="仿宋_GB2312" w:eastAsia="仿宋_GB2312" w:cs="仿宋_GB2312"/>
          <w:color w:val="000000"/>
          <w:sz w:val="32"/>
          <w:szCs w:val="32"/>
        </w:rPr>
        <w:t>医疗机构结余留用资金申请后，对医疗机构进行工作考核，计算考核得分和结余留用资金。相关结果反馈给医疗机构，医疗机构如对考核结果和计算参数有异议，可在</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个工作日内进行申诉。</w:t>
      </w:r>
    </w:p>
    <w:p>
      <w:pPr>
        <w:autoSpaceDE w:val="0"/>
        <w:autoSpaceDN w:val="0"/>
        <w:spacing w:line="594"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（三）核定结余留用资金</w:t>
      </w:r>
    </w:p>
    <w:p>
      <w:pPr>
        <w:autoSpaceDE w:val="0"/>
        <w:autoSpaceDN w:val="0"/>
        <w:spacing w:line="594"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color w:val="000000"/>
          <w:sz w:val="32"/>
        </w:rPr>
        <w:t>各</w:t>
      </w:r>
      <w:r>
        <w:rPr>
          <w:rFonts w:hint="eastAsia" w:ascii="仿宋_GB2312" w:hAnsi="仿宋_GB2312" w:eastAsia="仿宋_GB2312" w:cs="仿宋_GB2312"/>
          <w:color w:val="000000"/>
          <w:sz w:val="32"/>
        </w:rPr>
        <w:t>医保经办机</w:t>
      </w:r>
      <w:r>
        <w:rPr>
          <w:rFonts w:hint="eastAsia" w:ascii="仿宋_GB2312" w:hAnsi="宋体" w:eastAsia="仿宋_GB2312" w:cs="宋体"/>
          <w:color w:val="000000"/>
          <w:sz w:val="32"/>
        </w:rPr>
        <w:t>构</w:t>
      </w:r>
      <w:r>
        <w:rPr>
          <w:rFonts w:hint="eastAsia" w:ascii="仿宋_GB2312" w:hAnsi="仿宋_GB2312" w:eastAsia="仿宋_GB2312" w:cs="仿宋_GB2312"/>
          <w:color w:val="000000"/>
          <w:sz w:val="32"/>
        </w:rPr>
        <w:t>根据对医疗机构的考核</w:t>
      </w:r>
      <w:r>
        <w:rPr>
          <w:rFonts w:ascii="仿宋_GB2312" w:hAnsi="仿宋_GB2312" w:eastAsia="仿宋_GB2312" w:cs="仿宋_GB2312"/>
          <w:color w:val="000000"/>
          <w:sz w:val="32"/>
        </w:rPr>
        <w:t>结果</w:t>
      </w:r>
      <w:r>
        <w:rPr>
          <w:rFonts w:hint="eastAsia" w:ascii="仿宋_GB2312" w:hAnsi="仿宋_GB2312" w:eastAsia="仿宋_GB2312" w:cs="仿宋_GB2312"/>
          <w:color w:val="000000"/>
          <w:sz w:val="32"/>
        </w:rPr>
        <w:t>计算结余留用资金，并经当地医保局和财政</w:t>
      </w:r>
      <w:r>
        <w:rPr>
          <w:rFonts w:ascii="仿宋_GB2312" w:hAnsi="仿宋_GB2312" w:eastAsia="仿宋_GB2312" w:cs="仿宋_GB2312"/>
          <w:color w:val="000000"/>
          <w:sz w:val="32"/>
        </w:rPr>
        <w:t>局</w:t>
      </w:r>
      <w:r>
        <w:rPr>
          <w:rFonts w:hint="eastAsia" w:ascii="仿宋_GB2312" w:hAnsi="仿宋_GB2312" w:eastAsia="仿宋_GB2312" w:cs="仿宋_GB2312"/>
          <w:color w:val="000000"/>
          <w:sz w:val="32"/>
        </w:rPr>
        <w:t>审核。考核</w:t>
      </w:r>
      <w:r>
        <w:rPr>
          <w:rFonts w:hint="eastAsia" w:ascii="仿宋_GB2312" w:hAnsi="仿宋_GB2312" w:eastAsia="仿宋_GB2312" w:cs="仿宋_GB2312"/>
          <w:color w:val="000000"/>
          <w:sz w:val="32"/>
          <w:szCs w:val="32"/>
        </w:rPr>
        <w:t>结果以适当方式在协议医疗机构范围内公开。</w:t>
      </w:r>
    </w:p>
    <w:p>
      <w:pPr>
        <w:autoSpaceDE w:val="0"/>
        <w:autoSpaceDN w:val="0"/>
        <w:spacing w:line="594" w:lineRule="exact"/>
        <w:ind w:firstLine="640" w:firstLineChars="200"/>
        <w:rPr>
          <w:rFonts w:hint="default" w:ascii="仿宋_GB2312" w:hAnsi="宋体" w:eastAsia="仿宋_GB2312" w:cs="仿宋_GB2312"/>
          <w:color w:val="FF0000"/>
          <w:kern w:val="0"/>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p>
      <w:pPr>
        <w:pStyle w:val="3"/>
        <w:spacing w:before="144"/>
        <w:rPr>
          <w:rFonts w:hint="eastAsia" w:ascii="黑体" w:eastAsia="黑体"/>
        </w:rPr>
      </w:pPr>
      <w:r>
        <w:rPr>
          <w:rFonts w:hint="eastAsia" w:ascii="黑体" w:eastAsia="黑体"/>
          <w:spacing w:val="-27"/>
        </w:rPr>
        <w:t>附件</w:t>
      </w:r>
      <w:r>
        <w:rPr>
          <w:rFonts w:hint="eastAsia" w:ascii="黑体" w:eastAsia="黑体"/>
          <w:spacing w:val="-27"/>
          <w:lang w:val="en-US" w:eastAsia="zh-CN"/>
        </w:rPr>
        <w:t>2</w:t>
      </w:r>
      <w:r>
        <w:rPr>
          <w:rFonts w:hint="eastAsia" w:ascii="黑体" w:eastAsia="黑体"/>
        </w:rPr>
        <w:t>：</w:t>
      </w:r>
    </w:p>
    <w:p>
      <w:pPr>
        <w:pStyle w:val="3"/>
        <w:rPr>
          <w:rFonts w:ascii="黑体"/>
          <w:sz w:val="71"/>
        </w:rPr>
      </w:pPr>
      <w:r>
        <w:br w:type="column"/>
      </w:r>
    </w:p>
    <w:p>
      <w:pPr>
        <w:pStyle w:val="2"/>
        <w:ind w:left="420"/>
        <w:rPr>
          <w:rFonts w:hint="eastAsia" w:eastAsia="宋体"/>
          <w:lang w:eastAsia="zh-CN"/>
        </w:rPr>
        <w:sectPr>
          <w:footerReference r:id="rId4" w:type="default"/>
          <w:footerReference r:id="rId5" w:type="even"/>
          <w:pgSz w:w="16840" w:h="11910" w:orient="landscape"/>
          <w:pgMar w:top="1100" w:right="940" w:bottom="1180" w:left="940" w:header="0" w:footer="983" w:gutter="0"/>
          <w:pgNumType w:fmt="numberInDash"/>
          <w:cols w:equalWidth="0" w:num="2">
            <w:col w:w="1661" w:space="2097"/>
            <w:col w:w="11202"/>
          </w:cols>
        </w:sectPr>
      </w:pPr>
      <w:r>
        <w:rPr>
          <w:rFonts w:hint="eastAsia" w:ascii="Times New Roman" w:hAnsi="Times New Roman" w:eastAsia="方正小标宋简体" w:cs="方正小标宋简体"/>
          <w:kern w:val="0"/>
          <w:sz w:val="44"/>
          <w:szCs w:val="20"/>
          <w:lang w:val="en-US" w:eastAsia="zh-CN" w:bidi="ar-SA"/>
        </w:rPr>
        <w:t>协议医疗机构考核指标及分值</w:t>
      </w:r>
    </w:p>
    <w:p>
      <w:pPr>
        <w:pStyle w:val="3"/>
        <w:rPr>
          <w:sz w:val="19"/>
        </w:r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5"/>
        <w:gridCol w:w="3747"/>
        <w:gridCol w:w="911"/>
        <w:gridCol w:w="3045"/>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845"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361"/>
              <w:textAlignment w:val="auto"/>
              <w:rPr>
                <w:rFonts w:hint="eastAsia" w:ascii="黑体" w:eastAsia="黑体"/>
                <w:sz w:val="28"/>
              </w:rPr>
            </w:pPr>
            <w:r>
              <w:rPr>
                <w:rFonts w:hint="eastAsia" w:ascii="黑体" w:eastAsia="黑体"/>
                <w:sz w:val="28"/>
              </w:rPr>
              <w:t>考核内容</w:t>
            </w: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1293" w:right="1284"/>
              <w:jc w:val="center"/>
              <w:textAlignment w:val="auto"/>
              <w:rPr>
                <w:rFonts w:hint="eastAsia" w:ascii="黑体" w:eastAsia="黑体"/>
                <w:sz w:val="28"/>
              </w:rPr>
            </w:pPr>
            <w:r>
              <w:rPr>
                <w:rFonts w:hint="eastAsia" w:ascii="黑体" w:eastAsia="黑体"/>
                <w:sz w:val="28"/>
              </w:rPr>
              <w:t>考核指标</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3" w:line="400" w:lineRule="exact"/>
              <w:ind w:left="173"/>
              <w:textAlignment w:val="auto"/>
              <w:rPr>
                <w:rFonts w:hint="eastAsia" w:ascii="黑体" w:eastAsia="黑体"/>
                <w:sz w:val="28"/>
              </w:rPr>
            </w:pPr>
            <w:r>
              <w:rPr>
                <w:rFonts w:hint="eastAsia" w:ascii="黑体" w:eastAsia="黑体"/>
                <w:spacing w:val="-1"/>
                <w:sz w:val="28"/>
              </w:rPr>
              <w:t>参考</w:t>
            </w:r>
          </w:p>
          <w:p>
            <w:pPr>
              <w:pStyle w:val="7"/>
              <w:keepNext w:val="0"/>
              <w:keepLines w:val="0"/>
              <w:pageBreakBefore w:val="0"/>
              <w:widowControl w:val="0"/>
              <w:kinsoku/>
              <w:wordWrap/>
              <w:overflowPunct/>
              <w:topLinePunct w:val="0"/>
              <w:autoSpaceDE/>
              <w:autoSpaceDN/>
              <w:bidi w:val="0"/>
              <w:adjustRightInd/>
              <w:snapToGrid/>
              <w:spacing w:before="4" w:line="400" w:lineRule="exact"/>
              <w:ind w:left="173"/>
              <w:textAlignment w:val="auto"/>
              <w:rPr>
                <w:rFonts w:hint="eastAsia" w:ascii="黑体" w:eastAsia="黑体"/>
                <w:sz w:val="28"/>
              </w:rPr>
            </w:pPr>
            <w:r>
              <w:rPr>
                <w:rFonts w:hint="eastAsia" w:ascii="黑体" w:eastAsia="黑体"/>
                <w:spacing w:val="-1"/>
                <w:sz w:val="28"/>
              </w:rPr>
              <w:t>分值</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28" w:right="19"/>
              <w:jc w:val="center"/>
              <w:textAlignment w:val="auto"/>
              <w:rPr>
                <w:rFonts w:hint="eastAsia" w:ascii="黑体" w:eastAsia="黑体"/>
                <w:sz w:val="28"/>
              </w:rPr>
            </w:pPr>
            <w:r>
              <w:rPr>
                <w:rFonts w:hint="eastAsia" w:ascii="黑体" w:eastAsia="黑体"/>
                <w:sz w:val="28"/>
              </w:rPr>
              <w:t>计算公式</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1526" w:right="1518"/>
              <w:jc w:val="center"/>
              <w:textAlignment w:val="auto"/>
              <w:rPr>
                <w:rFonts w:hint="eastAsia" w:ascii="黑体" w:eastAsia="黑体"/>
                <w:sz w:val="28"/>
              </w:rPr>
            </w:pPr>
            <w:r>
              <w:rPr>
                <w:rFonts w:hint="eastAsia" w:ascii="黑体" w:eastAsia="黑体"/>
                <w:sz w:val="28"/>
              </w:rPr>
              <w:t>考核要求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184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95" w:line="400" w:lineRule="exact"/>
              <w:ind w:left="47" w:right="33"/>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（一）执行药品集采规定</w:t>
            </w: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9" w:line="400" w:lineRule="exact"/>
              <w:ind w:left="45" w:right="36"/>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1.是否按时完成国家组织集中采购中选</w:t>
            </w:r>
            <w:r>
              <w:rPr>
                <w:rFonts w:hint="eastAsia" w:asciiTheme="majorEastAsia" w:hAnsiTheme="majorEastAsia" w:eastAsiaTheme="majorEastAsia" w:cstheme="majorEastAsia"/>
                <w:sz w:val="22"/>
                <w:szCs w:val="22"/>
                <w:lang w:val="en-US" w:eastAsia="zh-CN"/>
              </w:rPr>
              <w:t>产品</w:t>
            </w:r>
            <w:r>
              <w:rPr>
                <w:rFonts w:hint="eastAsia" w:asciiTheme="majorEastAsia" w:hAnsiTheme="majorEastAsia" w:eastAsiaTheme="majorEastAsia" w:cstheme="majorEastAsia"/>
                <w:sz w:val="22"/>
                <w:szCs w:val="22"/>
              </w:rPr>
              <w:t>的约定采购量</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3" w:line="400" w:lineRule="exact"/>
              <w:jc w:val="center"/>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 w:line="400" w:lineRule="exact"/>
              <w:ind w:left="153" w:right="146"/>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3" w:line="400" w:lineRule="exact"/>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 w:line="400" w:lineRule="exact"/>
              <w:ind w:left="28" w:right="17"/>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7" w:line="400" w:lineRule="exact"/>
              <w:ind w:left="45" w:right="33"/>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按中选</w:t>
            </w:r>
            <w:r>
              <w:rPr>
                <w:rFonts w:hint="eastAsia" w:asciiTheme="majorEastAsia" w:hAnsiTheme="majorEastAsia" w:eastAsiaTheme="majorEastAsia" w:cstheme="majorEastAsia"/>
                <w:spacing w:val="-10"/>
                <w:sz w:val="22"/>
                <w:szCs w:val="22"/>
                <w:lang w:val="en-US" w:eastAsia="zh-CN"/>
              </w:rPr>
              <w:t>产</w:t>
            </w:r>
            <w:r>
              <w:rPr>
                <w:rFonts w:hint="eastAsia" w:asciiTheme="majorEastAsia" w:hAnsiTheme="majorEastAsia" w:eastAsiaTheme="majorEastAsia" w:cstheme="majorEastAsia"/>
                <w:spacing w:val="-10"/>
                <w:sz w:val="22"/>
                <w:szCs w:val="22"/>
              </w:rPr>
              <w:t>品分别统计，未按时完成</w:t>
            </w:r>
            <w:r>
              <w:rPr>
                <w:rFonts w:hint="eastAsia" w:asciiTheme="majorEastAsia" w:hAnsiTheme="majorEastAsia" w:eastAsiaTheme="majorEastAsia" w:cstheme="majorEastAsia"/>
                <w:spacing w:val="-11"/>
                <w:sz w:val="22"/>
                <w:szCs w:val="22"/>
              </w:rPr>
              <w:t>约定采购量</w:t>
            </w:r>
            <w:r>
              <w:rPr>
                <w:rFonts w:hint="eastAsia" w:asciiTheme="majorEastAsia" w:hAnsiTheme="majorEastAsia" w:eastAsiaTheme="majorEastAsia" w:cstheme="majorEastAsia"/>
                <w:spacing w:val="-11"/>
                <w:sz w:val="22"/>
                <w:szCs w:val="22"/>
                <w:u w:val="none"/>
              </w:rPr>
              <w:t>，该中选</w:t>
            </w:r>
            <w:r>
              <w:rPr>
                <w:rFonts w:hint="eastAsia" w:asciiTheme="majorEastAsia" w:hAnsiTheme="majorEastAsia" w:eastAsiaTheme="majorEastAsia" w:cstheme="majorEastAsia"/>
                <w:spacing w:val="-11"/>
                <w:sz w:val="22"/>
                <w:szCs w:val="22"/>
                <w:u w:val="none"/>
                <w:lang w:val="en-US" w:eastAsia="zh-CN"/>
              </w:rPr>
              <w:t>产</w:t>
            </w:r>
            <w:r>
              <w:rPr>
                <w:rFonts w:hint="eastAsia" w:asciiTheme="majorEastAsia" w:hAnsiTheme="majorEastAsia" w:eastAsiaTheme="majorEastAsia" w:cstheme="majorEastAsia"/>
                <w:spacing w:val="-11"/>
                <w:sz w:val="22"/>
                <w:szCs w:val="22"/>
                <w:u w:val="none"/>
              </w:rPr>
              <w:t>品不核算结</w:t>
            </w:r>
            <w:r>
              <w:rPr>
                <w:rFonts w:hint="eastAsia" w:asciiTheme="majorEastAsia" w:hAnsiTheme="majorEastAsia" w:eastAsiaTheme="majorEastAsia" w:cstheme="majorEastAsia"/>
                <w:spacing w:val="-4"/>
                <w:sz w:val="22"/>
                <w:szCs w:val="22"/>
                <w:u w:val="none"/>
              </w:rPr>
              <w:t>余留用资金</w:t>
            </w:r>
            <w:r>
              <w:rPr>
                <w:rFonts w:hint="eastAsia" w:asciiTheme="majorEastAsia" w:hAnsiTheme="majorEastAsia" w:eastAsiaTheme="majorEastAsia" w:cstheme="majorEastAsia"/>
                <w:spacing w:val="-4"/>
                <w:sz w:val="22"/>
                <w:szCs w:val="22"/>
                <w:u w:val="none"/>
                <w:lang w:eastAsia="zh-CN"/>
              </w:rPr>
              <w:t>；</w:t>
            </w:r>
            <w:r>
              <w:rPr>
                <w:rFonts w:hint="eastAsia" w:asciiTheme="majorEastAsia" w:hAnsiTheme="majorEastAsia" w:eastAsiaTheme="majorEastAsia" w:cstheme="majorEastAsia"/>
                <w:spacing w:val="-4"/>
                <w:sz w:val="22"/>
                <w:szCs w:val="22"/>
                <w:highlight w:val="none"/>
                <w:u w:val="none"/>
                <w:lang w:val="en-US" w:eastAsia="zh-CN"/>
              </w:rPr>
              <w:t>未完成约定量产品数药品超过15%、耗材10%，该批次药品、耗材不核算结余留用资金。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84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1" w:line="400" w:lineRule="exact"/>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2.该批集采药品票据审核和对账复核情况</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1" w:line="400" w:lineRule="exact"/>
              <w:ind w:left="154" w:right="146"/>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1" w:line="400" w:lineRule="exact"/>
              <w:ind w:left="28" w:right="88"/>
              <w:jc w:val="left"/>
              <w:textAlignment w:val="auto"/>
              <w:rPr>
                <w:rFonts w:hint="eastAsia" w:asciiTheme="majorEastAsia" w:hAnsiTheme="majorEastAsia" w:eastAsiaTheme="majorEastAsia" w:cstheme="majorEastAsia"/>
                <w:sz w:val="22"/>
                <w:szCs w:val="22"/>
              </w:rPr>
            </w:pP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45" w:right="35"/>
              <w:jc w:val="left"/>
              <w:textAlignment w:val="auto"/>
              <w:rPr>
                <w:rFonts w:hint="default" w:asciiTheme="majorEastAsia" w:hAnsiTheme="majorEastAsia" w:eastAsiaTheme="majorEastAsia" w:cstheme="majorEastAsia"/>
                <w:sz w:val="22"/>
                <w:szCs w:val="22"/>
                <w:lang w:val="en-US"/>
              </w:rPr>
            </w:pPr>
            <w:r>
              <w:rPr>
                <w:rFonts w:hint="eastAsia" w:asciiTheme="majorEastAsia" w:hAnsiTheme="majorEastAsia" w:eastAsiaTheme="majorEastAsia" w:cstheme="majorEastAsia"/>
                <w:kern w:val="2"/>
                <w:sz w:val="22"/>
                <w:szCs w:val="22"/>
                <w:lang w:val="en-US" w:eastAsia="zh-CN" w:bidi="zh-CN"/>
              </w:rPr>
              <w:t>未在规定时间内完成票据审核工作的扣10分；未完成对账复核工作的扣5分。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84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87" w:line="400" w:lineRule="exact"/>
              <w:ind w:left="47" w:right="33"/>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（二）合理控制药品费用</w:t>
            </w: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2" w:line="400" w:lineRule="exact"/>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45"/>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3.协议医疗机构药品费用增长率</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2" w:line="400" w:lineRule="exact"/>
              <w:jc w:val="center"/>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154" w:right="146"/>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（本年度药品支出额－上年度药品支出额）/上年度药品支出额</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考虑就诊人次增长因素前提下，合理控制医疗机构药费总额的增长</w:t>
            </w:r>
            <w:r>
              <w:rPr>
                <w:rFonts w:hint="eastAsia" w:asciiTheme="majorEastAsia" w:hAnsiTheme="majorEastAsia" w:eastAsiaTheme="majorEastAsia" w:cstheme="majorEastAsia"/>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84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sz w:val="22"/>
                <w:szCs w:val="22"/>
                <w:lang w:val="en-US" w:eastAsia="zh-CN"/>
              </w:rPr>
              <w:t>集采高值耗材相关手术患者住院次均费用变化</w:t>
            </w:r>
          </w:p>
        </w:tc>
        <w:tc>
          <w:tcPr>
            <w:tcW w:w="91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 w:line="400" w:lineRule="exact"/>
              <w:ind w:left="153" w:leftChars="0" w:right="146" w:rightChars="0"/>
              <w:jc w:val="center"/>
              <w:textAlignment w:val="auto"/>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22"/>
                <w:szCs w:val="22"/>
                <w:lang w:val="en-US" w:eastAsia="zh-CN"/>
              </w:rPr>
              <w:t>10分</w:t>
            </w:r>
          </w:p>
        </w:tc>
        <w:tc>
          <w:tcPr>
            <w:tcW w:w="3045"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 w:line="400" w:lineRule="exact"/>
              <w:ind w:left="28" w:leftChars="0" w:right="17" w:rightChars="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集采高值耗材相关手术患者住院次均费用较上年涨幅未超过价格指数涨幅的，得10分。超过的，全部中选高值耗材不核算结余留用资金。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84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5.</w:t>
            </w:r>
            <w:r>
              <w:rPr>
                <w:rFonts w:hint="eastAsia" w:asciiTheme="majorEastAsia" w:hAnsiTheme="majorEastAsia" w:eastAsiaTheme="majorEastAsia" w:cstheme="majorEastAsia"/>
                <w:sz w:val="22"/>
                <w:szCs w:val="22"/>
              </w:rPr>
              <w:t>非中选产品采购量占比</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154" w:right="146"/>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10分</w:t>
            </w:r>
          </w:p>
        </w:tc>
        <w:tc>
          <w:tcPr>
            <w:tcW w:w="30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ajorEastAsia" w:hAnsiTheme="majorEastAsia" w:eastAsiaTheme="majorEastAsia" w:cstheme="majorEastAsia"/>
                <w:kern w:val="2"/>
                <w:sz w:val="22"/>
                <w:szCs w:val="22"/>
                <w:lang w:val="en-US" w:eastAsia="zh-CN" w:bidi="zh-CN"/>
              </w:rPr>
            </w:pPr>
            <w:r>
              <w:rPr>
                <w:rFonts w:hint="eastAsia" w:asciiTheme="majorEastAsia" w:hAnsiTheme="majorEastAsia" w:eastAsiaTheme="majorEastAsia" w:cstheme="majorEastAsia"/>
                <w:kern w:val="2"/>
                <w:sz w:val="21"/>
                <w:szCs w:val="21"/>
                <w:lang w:val="en-US" w:eastAsia="zh-CN" w:bidi="zh-CN"/>
              </w:rPr>
              <w:t>设定该批集采非中选产品采购量占比为A，A=非中选产品采购量/该（通用名）类产品总采购量</w:t>
            </w:r>
          </w:p>
        </w:tc>
        <w:tc>
          <w:tcPr>
            <w:tcW w:w="42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ajorEastAsia" w:hAnsiTheme="majorEastAsia" w:eastAsiaTheme="majorEastAsia" w:cstheme="majorEastAsia"/>
                <w:kern w:val="2"/>
                <w:sz w:val="22"/>
                <w:szCs w:val="22"/>
                <w:lang w:val="en-US" w:eastAsia="zh-CN" w:bidi="zh-CN"/>
              </w:rPr>
            </w:pPr>
            <w:r>
              <w:rPr>
                <w:rFonts w:hint="eastAsia" w:asciiTheme="majorEastAsia" w:hAnsiTheme="majorEastAsia" w:eastAsiaTheme="majorEastAsia" w:cstheme="majorEastAsia"/>
                <w:kern w:val="2"/>
                <w:sz w:val="22"/>
                <w:szCs w:val="22"/>
                <w:lang w:val="en-US" w:eastAsia="zh-CN" w:bidi="zh-CN"/>
              </w:rPr>
              <w:t>A≤规定比例，得10分；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ajorEastAsia" w:hAnsiTheme="majorEastAsia" w:eastAsiaTheme="majorEastAsia" w:cstheme="majorEastAsia"/>
                <w:kern w:val="2"/>
                <w:sz w:val="22"/>
                <w:szCs w:val="22"/>
                <w:lang w:val="en-US" w:eastAsia="zh-CN" w:bidi="zh-CN"/>
              </w:rPr>
            </w:pPr>
            <w:r>
              <w:rPr>
                <w:rFonts w:hint="eastAsia" w:asciiTheme="majorEastAsia" w:hAnsiTheme="majorEastAsia" w:eastAsiaTheme="majorEastAsia" w:cstheme="majorEastAsia"/>
                <w:kern w:val="2"/>
                <w:sz w:val="22"/>
                <w:szCs w:val="22"/>
                <w:lang w:val="en-US" w:eastAsia="zh-CN" w:bidi="zh-CN"/>
              </w:rPr>
              <w:t>A＞规定比例，不得分。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184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（三）落实集采、价格等改革政策</w:t>
            </w: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6</w:t>
            </w:r>
            <w:r>
              <w:rPr>
                <w:rFonts w:hint="eastAsia" w:asciiTheme="majorEastAsia" w:hAnsiTheme="majorEastAsia" w:eastAsiaTheme="majorEastAsia" w:cstheme="majorEastAsia"/>
                <w:sz w:val="22"/>
                <w:szCs w:val="22"/>
              </w:rPr>
              <w:t>.年度医疗机构所有</w:t>
            </w:r>
            <w:r>
              <w:rPr>
                <w:rFonts w:hint="eastAsia" w:asciiTheme="majorEastAsia" w:hAnsiTheme="majorEastAsia" w:eastAsiaTheme="majorEastAsia" w:cstheme="majorEastAsia"/>
                <w:sz w:val="22"/>
                <w:szCs w:val="22"/>
                <w:lang w:val="en-US" w:eastAsia="zh-CN"/>
              </w:rPr>
              <w:t>产品</w:t>
            </w:r>
            <w:r>
              <w:rPr>
                <w:rFonts w:hint="eastAsia" w:asciiTheme="majorEastAsia" w:hAnsiTheme="majorEastAsia" w:eastAsiaTheme="majorEastAsia" w:cstheme="majorEastAsia"/>
                <w:sz w:val="22"/>
                <w:szCs w:val="22"/>
              </w:rPr>
              <w:t>线下采购占比</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w:t>
            </w:r>
          </w:p>
        </w:tc>
        <w:tc>
          <w:tcPr>
            <w:tcW w:w="30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（定点医疗机构实际产品采购总额-平台采购额）/定点医疗机构实际产品采购总额</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按要求规范线上采购，线下采购占比超过0%的，医疗机构该批次所有中选产品不核算结余留用资金（现有政策允许的情形除外）。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7</w:t>
            </w:r>
            <w:r>
              <w:rPr>
                <w:rFonts w:hint="eastAsia" w:asciiTheme="majorEastAsia" w:hAnsiTheme="majorEastAsia" w:eastAsiaTheme="majorEastAsia" w:cstheme="majorEastAsia"/>
                <w:sz w:val="22"/>
                <w:szCs w:val="22"/>
              </w:rPr>
              <w:t>.货款在线结算占比</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15分</w:t>
            </w:r>
          </w:p>
        </w:tc>
        <w:tc>
          <w:tcPr>
            <w:tcW w:w="30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en-US" w:eastAsia="zh-CN"/>
              </w:rPr>
              <w:t>设定在线结算金额比为B，B=在线结算金额/平台采购金额</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en-US" w:eastAsia="zh-CN"/>
              </w:rPr>
              <w:t>B≥95%，得15分；80%≤B</w:t>
            </w:r>
            <w:r>
              <w:rPr>
                <w:rFonts w:hint="eastAsia" w:asciiTheme="majorEastAsia" w:hAnsiTheme="majorEastAsia" w:eastAsiaTheme="majorEastAsia" w:cstheme="majorEastAsia"/>
                <w:sz w:val="22"/>
                <w:szCs w:val="22"/>
                <w:lang w:val="zh-CN" w:eastAsia="zh-CN"/>
              </w:rPr>
              <w:t>＜</w:t>
            </w:r>
            <w:r>
              <w:rPr>
                <w:rFonts w:hint="eastAsia" w:asciiTheme="majorEastAsia" w:hAnsiTheme="majorEastAsia" w:eastAsiaTheme="majorEastAsia" w:cstheme="majorEastAsia"/>
                <w:sz w:val="22"/>
                <w:szCs w:val="22"/>
                <w:lang w:val="en-US" w:eastAsia="zh-CN"/>
              </w:rPr>
              <w:t>95%，得10分；B</w:t>
            </w:r>
            <w:r>
              <w:rPr>
                <w:rFonts w:hint="eastAsia" w:asciiTheme="majorEastAsia" w:hAnsiTheme="majorEastAsia" w:eastAsiaTheme="majorEastAsia" w:cstheme="majorEastAsia"/>
                <w:sz w:val="22"/>
                <w:szCs w:val="22"/>
                <w:lang w:val="zh-CN" w:eastAsia="zh-CN"/>
              </w:rPr>
              <w:t>＜</w:t>
            </w:r>
            <w:r>
              <w:rPr>
                <w:rFonts w:hint="eastAsia" w:asciiTheme="majorEastAsia" w:hAnsiTheme="majorEastAsia" w:eastAsiaTheme="majorEastAsia" w:cstheme="majorEastAsia"/>
                <w:sz w:val="22"/>
                <w:szCs w:val="22"/>
                <w:lang w:val="en-US" w:eastAsia="zh-CN"/>
              </w:rPr>
              <w:t>80%，不得分。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8</w:t>
            </w:r>
            <w:r>
              <w:rPr>
                <w:rFonts w:hint="eastAsia" w:asciiTheme="majorEastAsia" w:hAnsiTheme="majorEastAsia" w:eastAsiaTheme="majorEastAsia" w:cstheme="majorEastAsia"/>
                <w:sz w:val="22"/>
                <w:szCs w:val="22"/>
              </w:rPr>
              <w:t>.备案采购管理</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年度医院所有药品备案采购金额不超过规定比例</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lang w:val="en-US" w:eastAsia="zh-CN"/>
              </w:rPr>
              <w:t>1%</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lang w:val="en-US" w:eastAsia="zh-CN"/>
              </w:rPr>
              <w:t>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9</w:t>
            </w:r>
            <w:r>
              <w:rPr>
                <w:rFonts w:hint="eastAsia" w:asciiTheme="majorEastAsia" w:hAnsiTheme="majorEastAsia" w:eastAsiaTheme="majorEastAsia" w:cstheme="majorEastAsia"/>
                <w:sz w:val="22"/>
                <w:szCs w:val="22"/>
              </w:rPr>
              <w:t>.执行集采政策（如报量、采购签约等）情况</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rPr>
              <w:t>15分</w:t>
            </w:r>
          </w:p>
        </w:tc>
        <w:tc>
          <w:tcPr>
            <w:tcW w:w="30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如实、及时报量，规范签约，主动配合集采工作</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未</w:t>
            </w:r>
            <w:r>
              <w:rPr>
                <w:rFonts w:hint="eastAsia" w:asciiTheme="majorEastAsia" w:hAnsiTheme="majorEastAsia" w:eastAsiaTheme="majorEastAsia" w:cstheme="majorEastAsia"/>
                <w:sz w:val="22"/>
                <w:szCs w:val="22"/>
                <w:lang w:val="en-US" w:eastAsia="zh-CN"/>
              </w:rPr>
              <w:t>及时</w:t>
            </w:r>
            <w:r>
              <w:rPr>
                <w:rFonts w:hint="eastAsia" w:asciiTheme="majorEastAsia" w:hAnsiTheme="majorEastAsia" w:eastAsiaTheme="majorEastAsia" w:cstheme="majorEastAsia"/>
                <w:sz w:val="22"/>
                <w:szCs w:val="22"/>
                <w:lang w:val="zh-CN" w:eastAsia="zh-CN"/>
              </w:rPr>
              <w:t>如实报量扣</w:t>
            </w:r>
            <w:r>
              <w:rPr>
                <w:rFonts w:hint="eastAsia" w:asciiTheme="majorEastAsia" w:hAnsiTheme="majorEastAsia" w:eastAsiaTheme="majorEastAsia" w:cstheme="majorEastAsia"/>
                <w:sz w:val="22"/>
                <w:szCs w:val="22"/>
                <w:lang w:val="en-US" w:eastAsia="zh-CN"/>
              </w:rPr>
              <w:t>5分，</w:t>
            </w:r>
            <w:r>
              <w:rPr>
                <w:rFonts w:hint="eastAsia" w:asciiTheme="majorEastAsia" w:hAnsiTheme="majorEastAsia" w:eastAsiaTheme="majorEastAsia" w:cstheme="majorEastAsia"/>
                <w:sz w:val="22"/>
                <w:szCs w:val="22"/>
                <w:lang w:val="zh-CN" w:eastAsia="zh-CN"/>
              </w:rPr>
              <w:t>未及时规范签约扣</w:t>
            </w:r>
            <w:r>
              <w:rPr>
                <w:rFonts w:hint="eastAsia" w:asciiTheme="majorEastAsia" w:hAnsiTheme="majorEastAsia" w:eastAsiaTheme="majorEastAsia" w:cstheme="majorEastAsia"/>
                <w:sz w:val="22"/>
                <w:szCs w:val="22"/>
                <w:lang w:val="en-US" w:eastAsia="zh-CN"/>
              </w:rPr>
              <w:t>5分</w:t>
            </w:r>
            <w:r>
              <w:rPr>
                <w:rFonts w:hint="eastAsia" w:asciiTheme="majorEastAsia" w:hAnsiTheme="majorEastAsia" w:eastAsiaTheme="majorEastAsia" w:cstheme="majorEastAsia"/>
                <w:sz w:val="22"/>
                <w:szCs w:val="22"/>
                <w:lang w:val="zh-CN" w:eastAsia="zh-CN"/>
              </w:rPr>
              <w:t>，其他未主动配合集采工作等情况扣</w:t>
            </w:r>
            <w:r>
              <w:rPr>
                <w:rFonts w:hint="eastAsia" w:asciiTheme="majorEastAsia" w:hAnsiTheme="majorEastAsia" w:eastAsiaTheme="majorEastAsia" w:cstheme="majorEastAsia"/>
                <w:sz w:val="22"/>
                <w:szCs w:val="22"/>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10</w:t>
            </w:r>
            <w:r>
              <w:rPr>
                <w:rFonts w:hint="eastAsia" w:asciiTheme="majorEastAsia" w:hAnsiTheme="majorEastAsia" w:eastAsiaTheme="majorEastAsia" w:cstheme="majorEastAsia"/>
                <w:sz w:val="22"/>
                <w:szCs w:val="22"/>
              </w:rPr>
              <w:t>.价格违规情况</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rPr>
              <w:t>5分</w:t>
            </w:r>
          </w:p>
        </w:tc>
        <w:tc>
          <w:tcPr>
            <w:tcW w:w="30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执行医保部门政策，按实际服务数量收费，公开透明</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未发现经查实的违规行为得</w:t>
            </w:r>
            <w:r>
              <w:rPr>
                <w:rFonts w:hint="eastAsia" w:asciiTheme="majorEastAsia" w:hAnsiTheme="majorEastAsia" w:eastAsiaTheme="majorEastAsia" w:cstheme="majorEastAsia"/>
                <w:sz w:val="22"/>
                <w:szCs w:val="22"/>
                <w:lang w:val="en-US" w:eastAsia="zh-CN"/>
              </w:rPr>
              <w:t>5分，有查实违规行为不得分。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tc>
        <w:tc>
          <w:tcPr>
            <w:tcW w:w="3747"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1</w:t>
            </w:r>
            <w:r>
              <w:rPr>
                <w:rFonts w:hint="eastAsia" w:asciiTheme="majorEastAsia" w:hAnsiTheme="majorEastAsia" w:eastAsiaTheme="majorEastAsia" w:cstheme="majorEastAsia"/>
                <w:sz w:val="22"/>
                <w:szCs w:val="22"/>
                <w:lang w:val="en-US" w:eastAsia="zh-CN"/>
              </w:rPr>
              <w:t>1</w:t>
            </w:r>
            <w:r>
              <w:rPr>
                <w:rFonts w:hint="eastAsia" w:asciiTheme="majorEastAsia" w:hAnsiTheme="majorEastAsia" w:eastAsiaTheme="majorEastAsia" w:cstheme="majorEastAsia"/>
                <w:sz w:val="22"/>
                <w:szCs w:val="22"/>
              </w:rPr>
              <w:t>.集采中选</w:t>
            </w:r>
            <w:r>
              <w:rPr>
                <w:rFonts w:hint="eastAsia" w:asciiTheme="majorEastAsia" w:hAnsiTheme="majorEastAsia" w:eastAsiaTheme="majorEastAsia" w:cstheme="majorEastAsia"/>
                <w:sz w:val="22"/>
                <w:szCs w:val="22"/>
                <w:lang w:val="en-US" w:eastAsia="zh-CN"/>
              </w:rPr>
              <w:t>产</w:t>
            </w:r>
            <w:r>
              <w:rPr>
                <w:rFonts w:hint="eastAsia" w:asciiTheme="majorEastAsia" w:hAnsiTheme="majorEastAsia" w:eastAsiaTheme="majorEastAsia" w:cstheme="majorEastAsia"/>
                <w:sz w:val="22"/>
                <w:szCs w:val="22"/>
              </w:rPr>
              <w:t>品的规范流转</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rPr>
              <w:t>5分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rPr>
              <w:t>——</w:t>
            </w:r>
          </w:p>
        </w:tc>
        <w:tc>
          <w:tcPr>
            <w:tcW w:w="4214"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rPr>
              <w:t>医疗机构不得串换或转卖集采中选</w:t>
            </w:r>
            <w:r>
              <w:rPr>
                <w:rFonts w:hint="eastAsia" w:asciiTheme="majorEastAsia" w:hAnsiTheme="majorEastAsia" w:eastAsiaTheme="majorEastAsia" w:cstheme="majorEastAsia"/>
                <w:sz w:val="22"/>
                <w:szCs w:val="22"/>
                <w:lang w:val="en-US" w:eastAsia="zh-CN"/>
              </w:rPr>
              <w:t>产</w:t>
            </w:r>
            <w:r>
              <w:rPr>
                <w:rFonts w:hint="eastAsia" w:asciiTheme="majorEastAsia" w:hAnsiTheme="majorEastAsia" w:eastAsiaTheme="majorEastAsia" w:cstheme="majorEastAsia"/>
                <w:sz w:val="22"/>
                <w:szCs w:val="22"/>
              </w:rPr>
              <w:t>品</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lang w:val="en-US" w:eastAsia="zh-CN"/>
              </w:rPr>
              <w:t>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（四）加强宣传培训</w:t>
            </w:r>
          </w:p>
        </w:tc>
        <w:tc>
          <w:tcPr>
            <w:tcW w:w="3747" w:type="dxa"/>
            <w:tcBorders>
              <w:bottom w:val="single" w:color="auto"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zh-CN" w:eastAsia="zh-CN"/>
              </w:rPr>
              <w:t>1</w:t>
            </w:r>
            <w:r>
              <w:rPr>
                <w:rFonts w:hint="eastAsia" w:asciiTheme="majorEastAsia" w:hAnsiTheme="majorEastAsia" w:eastAsiaTheme="majorEastAsia" w:cstheme="majorEastAsia"/>
                <w:sz w:val="22"/>
                <w:szCs w:val="22"/>
                <w:lang w:val="en-US" w:eastAsia="zh-CN"/>
              </w:rPr>
              <w:t>2</w:t>
            </w:r>
            <w:r>
              <w:rPr>
                <w:rFonts w:hint="eastAsia" w:asciiTheme="majorEastAsia" w:hAnsiTheme="majorEastAsia" w:eastAsiaTheme="majorEastAsia" w:cstheme="majorEastAsia"/>
                <w:sz w:val="22"/>
                <w:szCs w:val="22"/>
                <w:lang w:val="zh-CN" w:eastAsia="zh-CN"/>
              </w:rPr>
              <w:t>.医疗机构对医务人员相关政策培训情况</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5分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开展了相关教育培训得</w:t>
            </w:r>
            <w:r>
              <w:rPr>
                <w:rFonts w:hint="eastAsia" w:asciiTheme="majorEastAsia" w:hAnsiTheme="majorEastAsia" w:eastAsiaTheme="majorEastAsia" w:cstheme="majorEastAsia"/>
                <w:sz w:val="22"/>
                <w:szCs w:val="22"/>
                <w:lang w:val="en-US" w:eastAsia="zh-CN"/>
              </w:rPr>
              <w:t>5分，未</w:t>
            </w:r>
            <w:r>
              <w:rPr>
                <w:rFonts w:hint="eastAsia" w:asciiTheme="majorEastAsia" w:hAnsiTheme="majorEastAsia" w:eastAsiaTheme="majorEastAsia" w:cstheme="majorEastAsia"/>
                <w:sz w:val="22"/>
                <w:szCs w:val="22"/>
                <w:lang w:val="zh-CN" w:eastAsia="zh-CN"/>
              </w:rPr>
              <w:t>开展了相关教育培训不得分。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5"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183" w:line="400" w:lineRule="exact"/>
              <w:ind w:left="45"/>
              <w:jc w:val="left"/>
              <w:textAlignment w:val="auto"/>
              <w:rPr>
                <w:rFonts w:hint="eastAsia" w:asciiTheme="majorEastAsia" w:hAnsiTheme="majorEastAsia" w:eastAsiaTheme="majorEastAsia" w:cstheme="majorEastAsia"/>
                <w:sz w:val="22"/>
                <w:szCs w:val="22"/>
              </w:rPr>
            </w:pPr>
          </w:p>
        </w:tc>
        <w:tc>
          <w:tcPr>
            <w:tcW w:w="3747"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1</w:t>
            </w:r>
            <w:r>
              <w:rPr>
                <w:rFonts w:hint="eastAsia" w:asciiTheme="majorEastAsia" w:hAnsiTheme="majorEastAsia" w:eastAsiaTheme="majorEastAsia" w:cstheme="majorEastAsia"/>
                <w:sz w:val="22"/>
                <w:szCs w:val="22"/>
                <w:lang w:val="en-US" w:eastAsia="zh-CN"/>
              </w:rPr>
              <w:t>3</w:t>
            </w:r>
            <w:r>
              <w:rPr>
                <w:rFonts w:hint="eastAsia" w:asciiTheme="majorEastAsia" w:hAnsiTheme="majorEastAsia" w:eastAsiaTheme="majorEastAsia" w:cstheme="majorEastAsia"/>
                <w:sz w:val="22"/>
                <w:szCs w:val="22"/>
                <w:lang w:val="zh-CN" w:eastAsia="zh-CN"/>
              </w:rPr>
              <w:t>.医疗机构对国家集采政策落实</w:t>
            </w:r>
          </w:p>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的配套制度、措施制定情况</w:t>
            </w:r>
          </w:p>
        </w:tc>
        <w:tc>
          <w:tcPr>
            <w:tcW w:w="911"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5分</w:t>
            </w:r>
          </w:p>
        </w:tc>
        <w:tc>
          <w:tcPr>
            <w:tcW w:w="30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w:t>
            </w:r>
          </w:p>
        </w:tc>
        <w:tc>
          <w:tcPr>
            <w:tcW w:w="42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制定了配套制度或落实措施得</w:t>
            </w:r>
            <w:r>
              <w:rPr>
                <w:rFonts w:hint="eastAsia" w:asciiTheme="majorEastAsia" w:hAnsiTheme="majorEastAsia" w:eastAsiaTheme="majorEastAsia" w:cstheme="majorEastAsia"/>
                <w:sz w:val="22"/>
                <w:szCs w:val="22"/>
                <w:lang w:val="en-US" w:eastAsia="zh-CN"/>
              </w:rPr>
              <w:t>5分，未</w:t>
            </w:r>
            <w:r>
              <w:rPr>
                <w:rFonts w:hint="eastAsia" w:asciiTheme="majorEastAsia" w:hAnsiTheme="majorEastAsia" w:eastAsiaTheme="majorEastAsia" w:cstheme="majorEastAsia"/>
                <w:sz w:val="22"/>
                <w:szCs w:val="22"/>
                <w:lang w:val="zh-CN" w:eastAsia="zh-CN"/>
              </w:rPr>
              <w:t>制定配套制度或落实措施不得分。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503" w:type="dxa"/>
            <w:gridSpan w:val="3"/>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总计</w:t>
            </w:r>
          </w:p>
        </w:tc>
        <w:tc>
          <w:tcPr>
            <w:tcW w:w="7259" w:type="dxa"/>
            <w:gridSpan w:val="2"/>
            <w:noWrap w:val="0"/>
            <w:vAlign w:val="top"/>
          </w:tcPr>
          <w:p>
            <w:pPr>
              <w:pStyle w:val="7"/>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en-US" w:eastAsia="zh-CN"/>
              </w:rPr>
              <w:t>100分</w:t>
            </w:r>
          </w:p>
        </w:tc>
      </w:tr>
    </w:tbl>
    <w:p>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Theme="majorEastAsia" w:hAnsiTheme="majorEastAsia" w:eastAsiaTheme="majorEastAsia" w:cstheme="maj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320" w:firstLineChars="100"/>
        <w:textAlignment w:val="auto"/>
        <w:rPr>
          <w:rFonts w:hint="eastAsia" w:ascii="仿宋_GB2312" w:hAnsi="仿宋_GB2312" w:eastAsia="仿宋_GB2312" w:cs="仿宋_GB2312"/>
          <w:sz w:val="32"/>
          <w:szCs w:val="32"/>
          <w:lang w:val="en-US" w:eastAsia="zh-CN"/>
        </w:rPr>
        <w:sectPr>
          <w:type w:val="continuous"/>
          <w:pgSz w:w="16840" w:h="11910" w:orient="landscape"/>
          <w:pgMar w:top="1580" w:right="940" w:bottom="280" w:left="940" w:header="720" w:footer="720" w:gutter="0"/>
          <w:pgNumType w:fmt="numberInDash"/>
          <w:cols w:space="720" w:num="1"/>
        </w:sectPr>
      </w:pPr>
      <w:r>
        <w:rPr>
          <w:rFonts w:hint="eastAsia" w:ascii="仿宋_GB2312" w:hAnsi="仿宋_GB2312" w:eastAsia="仿宋_GB2312" w:cs="仿宋_GB2312"/>
          <w:sz w:val="32"/>
          <w:szCs w:val="32"/>
          <w:lang w:eastAsia="zh-CN"/>
        </w:rPr>
        <w:t>注：药品、高值耗材分别考核计分，总分各为</w:t>
      </w:r>
      <w:r>
        <w:rPr>
          <w:rFonts w:hint="eastAsia" w:ascii="仿宋_GB2312" w:hAnsi="仿宋_GB2312" w:eastAsia="仿宋_GB2312" w:cs="仿宋_GB2312"/>
          <w:sz w:val="32"/>
          <w:szCs w:val="32"/>
          <w:lang w:val="en-US" w:eastAsia="zh-CN"/>
        </w:rPr>
        <w:t>100分</w:t>
      </w:r>
    </w:p>
    <w:p>
      <w:p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59435" cy="2235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9435" cy="223520"/>
                      </a:xfrm>
                      <a:prstGeom prst="rect">
                        <a:avLst/>
                      </a:prstGeom>
                      <a:noFill/>
                      <a:ln>
                        <a:noFill/>
                      </a:ln>
                      <a:effectLst/>
                    </wps:spPr>
                    <wps:txbx>
                      <w:txbxContent>
                        <w:p>
                          <w:pPr>
                            <w:spacing w:before="9"/>
                            <w:ind w:left="20" w:right="0" w:firstLine="0"/>
                            <w:jc w:val="left"/>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- 12 -</w:t>
                          </w:r>
                          <w:r>
                            <w:rPr>
                              <w:rFonts w:ascii="Times New Roman" w:hAnsi="Times New Roman"/>
                              <w:sz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7.6pt;width:44.05pt;mso-position-horizontal:outside;mso-position-horizontal-relative:margin;z-index:251659264;mso-width-relative:page;mso-height-relative:page;" filled="f" stroked="f" coordsize="21600,21600" o:gfxdata="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Tc3f1AAAAAMBAAAPAAAAAAAAAAEAIAAAACIAAABkcnMvZG93bnJldi54bWxQSwEC&#10;FAAUAAAACACHTuJAJ4J8qL8BAAB/AwAADgAAAAAAAAABACAAAAAj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- 12 -</w:t>
                    </w:r>
                    <w:r>
                      <w:rPr>
                        <w:rFonts w:ascii="Times New Roman" w:hAnsi="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850900</wp:posOffset>
              </wp:positionH>
              <wp:positionV relativeFrom="page">
                <wp:posOffset>6803390</wp:posOffset>
              </wp:positionV>
              <wp:extent cx="203835"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a:effectLst/>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67pt;margin-top:535.7pt;height:16.05pt;width:16.05pt;mso-position-horizontal-relative:page;mso-position-vertical-relative:page;z-index:-251656192;mso-width-relative:page;mso-height-relative:page;" filled="f" stroked="f" coordsize="21600,21600" o:gfxdata="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HahtoAAAANAQAADwAAAAAAAAABACAAAAAiAAAAZHJzL2Rvd25yZXYueG1sUEsB&#10;AhQAFAAAAAgAh07iQBqkq6O6AQAAfw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1117600</wp:posOffset>
              </wp:positionH>
              <wp:positionV relativeFrom="page">
                <wp:posOffset>6796405</wp:posOffset>
              </wp:positionV>
              <wp:extent cx="114935" cy="2235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223520"/>
                      </a:xfrm>
                      <a:prstGeom prst="rect">
                        <a:avLst/>
                      </a:prstGeom>
                      <a:noFill/>
                      <a:ln>
                        <a:noFill/>
                      </a:ln>
                      <a:effectLst/>
                    </wps:spPr>
                    <wps:txbx>
                      <w:txbxContent>
                        <w:p>
                          <w:pPr>
                            <w:spacing w:before="9"/>
                            <w:ind w:left="20" w:right="0" w:firstLine="0"/>
                            <w:jc w:val="left"/>
                            <w:rPr>
                              <w:rFonts w:ascii="Times New Roman"/>
                              <w:sz w:val="28"/>
                            </w:rPr>
                          </w:pPr>
                          <w:r>
                            <w:rPr>
                              <w:rFonts w:ascii="Times New Roman"/>
                              <w:w w:val="100"/>
                              <w:sz w:val="28"/>
                            </w:rPr>
                            <w:t>8</w:t>
                          </w:r>
                        </w:p>
                      </w:txbxContent>
                    </wps:txbx>
                    <wps:bodyPr lIns="0" tIns="0" rIns="0" bIns="0" upright="1"/>
                  </wps:wsp>
                </a:graphicData>
              </a:graphic>
            </wp:anchor>
          </w:drawing>
        </mc:Choice>
        <mc:Fallback>
          <w:pict>
            <v:shape id="_x0000_s1026" o:spid="_x0000_s1026" o:spt="202" type="#_x0000_t202" style="position:absolute;left:0pt;margin-left:88pt;margin-top:535.15pt;height:17.6pt;width:9.05pt;mso-position-horizontal-relative:page;mso-position-vertical-relative:page;z-index:-251655168;mso-width-relative:page;mso-height-relative:page;" filled="f" stroked="f" coordsize="21600,21600" o:gfxdata="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lffF2gAAAA0BAAAPAAAAAAAAAAEAIAAAACIAAABkcnMvZG93bnJldi54&#10;bWxQSwECFAAUAAAACACHTuJAxrF1Sr8BAAB/AwAADgAAAAAAAAABACAAAAApAQAAZHJzL2Uyb0Rv&#10;Yy54bWxQSwUGAAAAAAYABgBZAQAAWgUAAAAA&#10;">
              <v:fill on="f" focussize="0,0"/>
              <v:stroke on="f"/>
              <v:imagedata o:title=""/>
              <o:lock v:ext="edit" aspectratio="f"/>
              <v:textbox inset="0mm,0mm,0mm,0mm">
                <w:txbxContent>
                  <w:p>
                    <w:pPr>
                      <w:spacing w:before="9"/>
                      <w:ind w:left="20" w:right="0" w:firstLine="0"/>
                      <w:jc w:val="left"/>
                      <w:rPr>
                        <w:rFonts w:ascii="Times New Roman"/>
                        <w:sz w:val="28"/>
                      </w:rPr>
                    </w:pPr>
                    <w:r>
                      <w:rPr>
                        <w:rFonts w:ascii="Times New Roman"/>
                        <w:w w:val="100"/>
                        <w:sz w:val="28"/>
                      </w:rPr>
                      <w:t>8</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1296035</wp:posOffset>
              </wp:positionH>
              <wp:positionV relativeFrom="page">
                <wp:posOffset>6803390</wp:posOffset>
              </wp:positionV>
              <wp:extent cx="203835"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a:effectLst/>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_x0000_s1026" o:spid="_x0000_s1026" o:spt="202" type="#_x0000_t202" style="position:absolute;left:0pt;margin-left:102.05pt;margin-top:535.7pt;height:16.05pt;width:16.05pt;mso-position-horizontal-relative:page;mso-position-vertical-relative:page;z-index:-251654144;mso-width-relative:page;mso-height-relative:page;" filled="f" stroked="f" coordsize="21600,21600" o:gfxdata="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isUMNoAAAANAQAADwAAAAAAAAABACAAAAAiAAAAZHJzL2Rvd25yZXYueG1sUEsB&#10;AhQAFAAAAAgAh07iQHTuqtS6AQAAfw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2VlNWY2YmFiNTk3ZjM5YTQzZmIxMzQ4ZGYyMDMifQ=="/>
  </w:docVars>
  <w:rsids>
    <w:rsidRoot w:val="668B7A63"/>
    <w:rsid w:val="668B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outlineLvl w:val="0"/>
    </w:pPr>
    <w:rPr>
      <w:rFonts w:ascii="宋体" w:hAnsi="宋体" w:eastAsia="宋体" w:cs="宋体"/>
      <w:sz w:val="44"/>
      <w:szCs w:val="44"/>
      <w:lang w:val="zh-CN" w:eastAsia="zh-CN" w:bidi="zh-CN"/>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2024-05-21T07:45:00Z</dcterms:created>
  <dc:creator>Administrator</dc:creator>
  <cp:lastModifiedBy>Administrator</cp:lastModifiedBy>
  <dcterms:modified xsi:type="dcterms:W3CDTF">2024-05-21T07:48:28Z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B62BB2EB6ABC416F84C28FC29E3E47F8_11</vt:lpwstr>
  </property>
</Properties>
</file>