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2B" w:rsidRDefault="007E6B2B" w:rsidP="007E6B2B">
      <w:pPr>
        <w:snapToGrid w:val="0"/>
        <w:spacing w:line="560" w:lineRule="exact"/>
        <w:jc w:val="center"/>
        <w:rPr>
          <w:rFonts w:ascii="方正小标宋简体" w:eastAsia="方正小标宋简体"/>
          <w:sz w:val="48"/>
          <w:szCs w:val="44"/>
        </w:rPr>
      </w:pPr>
      <w:r>
        <w:rPr>
          <w:rFonts w:ascii="方正小标宋简体" w:eastAsia="方正小标宋简体" w:hint="eastAsia"/>
          <w:sz w:val="48"/>
          <w:szCs w:val="44"/>
        </w:rPr>
        <w:t>2023年度</w:t>
      </w:r>
      <w:r w:rsidR="00F91BB5">
        <w:rPr>
          <w:rFonts w:ascii="方正小标宋简体" w:eastAsia="方正小标宋简体" w:hint="eastAsia"/>
          <w:sz w:val="48"/>
          <w:szCs w:val="44"/>
        </w:rPr>
        <w:t>株洲市保障性住房服务中心</w:t>
      </w:r>
      <w:r>
        <w:rPr>
          <w:rFonts w:ascii="方正小标宋简体" w:eastAsia="方正小标宋简体" w:hint="eastAsia"/>
          <w:sz w:val="48"/>
          <w:szCs w:val="44"/>
        </w:rPr>
        <w:t>整体支出</w:t>
      </w:r>
    </w:p>
    <w:p w:rsidR="007E6B2B" w:rsidRDefault="007E6B2B" w:rsidP="007E6B2B">
      <w:pPr>
        <w:snapToGrid w:val="0"/>
        <w:spacing w:line="560" w:lineRule="exact"/>
        <w:jc w:val="center"/>
        <w:rPr>
          <w:rFonts w:ascii="方正大标宋简体" w:eastAsia="方正大标宋简体"/>
          <w:sz w:val="48"/>
          <w:szCs w:val="52"/>
        </w:rPr>
      </w:pPr>
      <w:r>
        <w:rPr>
          <w:rFonts w:ascii="方正小标宋简体" w:eastAsia="方正小标宋简体" w:hint="eastAsia"/>
          <w:sz w:val="48"/>
          <w:szCs w:val="44"/>
        </w:rPr>
        <w:t>绩效自评报告</w:t>
      </w: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楷体_GB2312"/>
          <w:b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jc w:val="center"/>
        <w:rPr>
          <w:rFonts w:eastAsia="黑体"/>
          <w:sz w:val="32"/>
          <w:szCs w:val="32"/>
        </w:rPr>
      </w:pPr>
    </w:p>
    <w:p w:rsidR="007E6B2B" w:rsidRDefault="007E6B2B" w:rsidP="007E6B2B">
      <w:pPr>
        <w:spacing w:line="600" w:lineRule="exact"/>
        <w:ind w:firstLineChars="600" w:firstLine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部门（单位）名称：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（盖章）        </w:t>
      </w:r>
    </w:p>
    <w:p w:rsidR="007E6B2B" w:rsidRDefault="00406DB9" w:rsidP="007E6B2B">
      <w:pPr>
        <w:spacing w:line="6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</w:t>
      </w:r>
      <w:r w:rsidR="007E6B2B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>4</w:t>
      </w:r>
      <w:r w:rsidR="007E6B2B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>15</w:t>
      </w:r>
      <w:r w:rsidR="007E6B2B">
        <w:rPr>
          <w:rFonts w:ascii="仿宋_GB2312" w:eastAsia="仿宋_GB2312" w:hint="eastAsia"/>
          <w:sz w:val="32"/>
          <w:szCs w:val="32"/>
        </w:rPr>
        <w:t xml:space="preserve"> 日</w:t>
      </w:r>
    </w:p>
    <w:p w:rsidR="007E6B2B" w:rsidRDefault="007E6B2B" w:rsidP="007E6B2B">
      <w:pPr>
        <w:jc w:val="center"/>
        <w:rPr>
          <w:rFonts w:ascii="仿宋_GB2312" w:eastAsia="仿宋_GB2312"/>
          <w:sz w:val="32"/>
          <w:szCs w:val="32"/>
        </w:rPr>
      </w:pPr>
    </w:p>
    <w:p w:rsidR="00F91BB5" w:rsidRDefault="00F91BB5" w:rsidP="0079152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、</w:t>
      </w:r>
    </w:p>
    <w:p w:rsidR="007E6B2B" w:rsidRDefault="007E6B2B" w:rsidP="0079152A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lastRenderedPageBreak/>
        <w:t>2023年度</w:t>
      </w:r>
      <w:r w:rsidR="0079152A">
        <w:rPr>
          <w:rFonts w:ascii="方正小标宋简体" w:eastAsia="方正小标宋简体" w:hint="eastAsia"/>
          <w:sz w:val="40"/>
          <w:szCs w:val="32"/>
        </w:rPr>
        <w:t>株洲市保障性住房服务中心</w:t>
      </w:r>
      <w:r>
        <w:rPr>
          <w:rFonts w:ascii="方正小标宋简体" w:eastAsia="方正小标宋简体" w:hint="eastAsia"/>
          <w:sz w:val="40"/>
          <w:szCs w:val="32"/>
        </w:rPr>
        <w:t>整体支出</w:t>
      </w:r>
    </w:p>
    <w:p w:rsidR="007E6B2B" w:rsidRDefault="007E6B2B" w:rsidP="007E6B2B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绩效自评报告</w:t>
      </w:r>
    </w:p>
    <w:p w:rsidR="007E6B2B" w:rsidRDefault="007E6B2B" w:rsidP="00EA631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一、部门（单位）基本情况</w:t>
      </w:r>
    </w:p>
    <w:p w:rsidR="0079152A" w:rsidRPr="00151884" w:rsidRDefault="0079152A" w:rsidP="00EA6317">
      <w:pPr>
        <w:tabs>
          <w:tab w:val="left" w:pos="7560"/>
        </w:tabs>
        <w:adjustRightInd w:val="0"/>
        <w:snapToGrid w:val="0"/>
        <w:spacing w:line="312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1884">
        <w:rPr>
          <w:rFonts w:ascii="仿宋_GB2312" w:eastAsia="仿宋_GB2312" w:hAnsi="仿宋" w:hint="eastAsia"/>
          <w:sz w:val="32"/>
          <w:szCs w:val="32"/>
        </w:rPr>
        <w:t>部门</w:t>
      </w:r>
      <w:r w:rsidR="00EA6317">
        <w:rPr>
          <w:rFonts w:ascii="仿宋_GB2312" w:eastAsia="仿宋_GB2312" w:hAnsi="仿宋" w:hint="eastAsia"/>
          <w:sz w:val="32"/>
          <w:szCs w:val="32"/>
        </w:rPr>
        <w:t>（单位）</w:t>
      </w:r>
      <w:r w:rsidRPr="00151884">
        <w:rPr>
          <w:rFonts w:ascii="仿宋_GB2312" w:eastAsia="仿宋_GB2312" w:hAnsi="仿宋" w:hint="eastAsia"/>
          <w:sz w:val="32"/>
          <w:szCs w:val="32"/>
        </w:rPr>
        <w:t>主要职责是：为人民群众提供房管服务</w:t>
      </w:r>
      <w:r w:rsidR="00EA6317">
        <w:rPr>
          <w:rFonts w:ascii="仿宋_GB2312" w:eastAsia="仿宋_GB2312" w:hAnsi="仿宋" w:hint="eastAsia"/>
          <w:sz w:val="32"/>
          <w:szCs w:val="32"/>
        </w:rPr>
        <w:t>；</w:t>
      </w:r>
      <w:r w:rsidRPr="00151884">
        <w:rPr>
          <w:rFonts w:ascii="仿宋_GB2312" w:eastAsia="仿宋_GB2312" w:hAnsi="仿宋" w:hint="eastAsia"/>
          <w:sz w:val="32"/>
          <w:szCs w:val="32"/>
        </w:rPr>
        <w:t>负责市区内的直管公房的管理，负责保障性住房的后续管理。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Pr="00151884">
        <w:rPr>
          <w:rFonts w:ascii="仿宋_GB2312" w:eastAsia="仿宋_GB2312" w:hAnsi="仿宋" w:hint="eastAsia"/>
          <w:sz w:val="32"/>
          <w:szCs w:val="32"/>
        </w:rPr>
        <w:t>为株洲市住房和城乡建设局下属正科级</w:t>
      </w:r>
      <w:r>
        <w:rPr>
          <w:rFonts w:ascii="仿宋_GB2312" w:eastAsia="仿宋_GB2312" w:hAnsi="仿宋" w:hint="eastAsia"/>
          <w:sz w:val="32"/>
          <w:szCs w:val="32"/>
        </w:rPr>
        <w:t>财政</w:t>
      </w:r>
      <w:r w:rsidRPr="00151884">
        <w:rPr>
          <w:rFonts w:ascii="仿宋_GB2312" w:eastAsia="仿宋_GB2312" w:hAnsi="仿宋" w:hint="eastAsia"/>
          <w:sz w:val="32"/>
          <w:szCs w:val="32"/>
        </w:rPr>
        <w:t>全额拨款</w:t>
      </w:r>
      <w:r w:rsidR="003A0DFE">
        <w:rPr>
          <w:rFonts w:ascii="仿宋_GB2312" w:eastAsia="仿宋_GB2312" w:hAnsi="仿宋" w:hint="eastAsia"/>
          <w:sz w:val="32"/>
          <w:szCs w:val="32"/>
        </w:rPr>
        <w:t>一类</w:t>
      </w:r>
      <w:r w:rsidR="00EA6317">
        <w:rPr>
          <w:rFonts w:ascii="仿宋_GB2312" w:eastAsia="仿宋_GB2312" w:hAnsi="仿宋" w:hint="eastAsia"/>
          <w:sz w:val="32"/>
          <w:szCs w:val="32"/>
        </w:rPr>
        <w:t>事业单位，</w:t>
      </w:r>
      <w:r w:rsidRPr="00151884">
        <w:rPr>
          <w:rFonts w:ascii="仿宋_GB2312" w:eastAsia="仿宋_GB2312" w:hAnsi="仿宋" w:hint="eastAsia"/>
          <w:sz w:val="32"/>
          <w:szCs w:val="32"/>
        </w:rPr>
        <w:t>共有人员</w:t>
      </w:r>
      <w:r w:rsidRPr="00151884"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Pr="00151884">
        <w:rPr>
          <w:rFonts w:ascii="仿宋_GB2312" w:eastAsia="仿宋_GB2312" w:hAnsi="仿宋" w:hint="eastAsia"/>
          <w:sz w:val="32"/>
          <w:szCs w:val="32"/>
        </w:rPr>
        <w:t>人，其中在职人员</w:t>
      </w:r>
      <w:r w:rsidRPr="00151884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151884">
        <w:rPr>
          <w:rFonts w:ascii="仿宋_GB2312" w:eastAsia="仿宋_GB2312" w:hAnsi="仿宋" w:hint="eastAsia"/>
          <w:sz w:val="32"/>
          <w:szCs w:val="32"/>
        </w:rPr>
        <w:t>人，退休人员</w:t>
      </w:r>
      <w:r w:rsidRPr="00151884"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8</w:t>
      </w:r>
      <w:r w:rsidRPr="00151884">
        <w:rPr>
          <w:rFonts w:ascii="仿宋_GB2312" w:eastAsia="仿宋_GB2312" w:hAnsi="仿宋" w:hint="eastAsia"/>
          <w:sz w:val="32"/>
          <w:szCs w:val="32"/>
        </w:rPr>
        <w:t>人。</w:t>
      </w:r>
    </w:p>
    <w:p w:rsidR="007E6B2B" w:rsidRDefault="007E6B2B" w:rsidP="00EA631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二、一般公共预算支出情况</w:t>
      </w:r>
    </w:p>
    <w:p w:rsidR="007E6B2B" w:rsidRDefault="007E6B2B" w:rsidP="00DE778F">
      <w:pPr>
        <w:tabs>
          <w:tab w:val="left" w:pos="7560"/>
        </w:tabs>
        <w:adjustRightInd w:val="0"/>
        <w:snapToGrid w:val="0"/>
        <w:spacing w:line="560" w:lineRule="exact"/>
        <w:ind w:firstLineChars="150" w:firstLine="482"/>
        <w:rPr>
          <w:rFonts w:ascii="仿宋_GB2312" w:eastAsia="仿宋_GB2312"/>
          <w:sz w:val="32"/>
          <w:szCs w:val="32"/>
        </w:rPr>
      </w:pPr>
      <w:r w:rsidRPr="00DE778F">
        <w:rPr>
          <w:rFonts w:ascii="楷体" w:eastAsia="楷体" w:hAnsi="楷体" w:hint="eastAsia"/>
          <w:b/>
          <w:sz w:val="32"/>
          <w:szCs w:val="32"/>
        </w:rPr>
        <w:t>（一）基本支出情况</w:t>
      </w:r>
      <w:r w:rsidR="0079152A" w:rsidRPr="00DE778F">
        <w:rPr>
          <w:rFonts w:ascii="楷体" w:eastAsia="楷体" w:hAnsi="楷体" w:hint="eastAsia"/>
          <w:b/>
          <w:sz w:val="32"/>
          <w:szCs w:val="32"/>
        </w:rPr>
        <w:t>：</w:t>
      </w:r>
      <w:r w:rsidR="0079152A" w:rsidRPr="00151884">
        <w:rPr>
          <w:rFonts w:ascii="仿宋_GB2312" w:eastAsia="仿宋_GB2312" w:hAnsi="仿宋" w:hint="eastAsia"/>
          <w:sz w:val="32"/>
          <w:szCs w:val="32"/>
        </w:rPr>
        <w:t>基本支出</w:t>
      </w:r>
      <w:r w:rsidR="0079152A">
        <w:rPr>
          <w:rFonts w:ascii="仿宋_GB2312" w:eastAsia="仿宋_GB2312" w:hAnsi="仿宋" w:hint="eastAsia"/>
          <w:sz w:val="32"/>
          <w:szCs w:val="32"/>
        </w:rPr>
        <w:t>1</w:t>
      </w:r>
      <w:r w:rsidR="00406DB9">
        <w:rPr>
          <w:rFonts w:ascii="仿宋_GB2312" w:eastAsia="仿宋_GB2312" w:hAnsi="仿宋" w:hint="eastAsia"/>
          <w:sz w:val="32"/>
          <w:szCs w:val="32"/>
        </w:rPr>
        <w:t>349.16</w:t>
      </w:r>
      <w:r w:rsidR="0079152A">
        <w:rPr>
          <w:rFonts w:ascii="仿宋_GB2312" w:eastAsia="仿宋_GB2312" w:hAnsi="仿宋" w:hint="eastAsia"/>
          <w:sz w:val="32"/>
          <w:szCs w:val="32"/>
        </w:rPr>
        <w:t>万元</w:t>
      </w:r>
      <w:r w:rsidR="00EA6317">
        <w:rPr>
          <w:rFonts w:ascii="仿宋_GB2312" w:eastAsia="仿宋_GB2312" w:hAnsi="仿宋" w:hint="eastAsia"/>
          <w:sz w:val="32"/>
          <w:szCs w:val="32"/>
        </w:rPr>
        <w:t>。</w:t>
      </w:r>
    </w:p>
    <w:p w:rsidR="007E6B2B" w:rsidRPr="007A361F" w:rsidRDefault="007E6B2B" w:rsidP="00DE778F">
      <w:pPr>
        <w:tabs>
          <w:tab w:val="left" w:pos="7560"/>
        </w:tabs>
        <w:adjustRightInd w:val="0"/>
        <w:snapToGrid w:val="0"/>
        <w:spacing w:line="560" w:lineRule="exact"/>
        <w:ind w:firstLineChars="150" w:firstLine="482"/>
        <w:jc w:val="left"/>
        <w:rPr>
          <w:rFonts w:ascii="楷体_GB2312" w:eastAsia="楷体_GB2312"/>
          <w:sz w:val="32"/>
          <w:szCs w:val="32"/>
        </w:rPr>
      </w:pPr>
      <w:r w:rsidRPr="00DE778F">
        <w:rPr>
          <w:rFonts w:ascii="楷体" w:eastAsia="楷体" w:hAnsi="楷体" w:hint="eastAsia"/>
          <w:b/>
          <w:sz w:val="32"/>
          <w:szCs w:val="32"/>
        </w:rPr>
        <w:t>（二）项目支出情况</w:t>
      </w:r>
      <w:r w:rsidR="0079152A" w:rsidRPr="00DE778F">
        <w:rPr>
          <w:rFonts w:ascii="楷体" w:eastAsia="楷体" w:hAnsi="楷体" w:hint="eastAsia"/>
          <w:b/>
          <w:sz w:val="32"/>
          <w:szCs w:val="32"/>
        </w:rPr>
        <w:t>：</w:t>
      </w:r>
      <w:r w:rsidR="0079152A" w:rsidRPr="00151884">
        <w:rPr>
          <w:rFonts w:ascii="仿宋_GB2312" w:eastAsia="仿宋_GB2312" w:hAnsi="仿宋" w:hint="eastAsia"/>
          <w:sz w:val="32"/>
          <w:szCs w:val="32"/>
        </w:rPr>
        <w:t>项目支出</w:t>
      </w:r>
      <w:r w:rsidR="0079152A">
        <w:rPr>
          <w:rFonts w:ascii="仿宋_GB2312" w:eastAsia="仿宋_GB2312" w:hAnsi="仿宋" w:hint="eastAsia"/>
          <w:sz w:val="32"/>
          <w:szCs w:val="32"/>
        </w:rPr>
        <w:t>1</w:t>
      </w:r>
      <w:r w:rsidR="00406DB9">
        <w:rPr>
          <w:rFonts w:ascii="仿宋_GB2312" w:eastAsia="仿宋_GB2312" w:hAnsi="仿宋" w:hint="eastAsia"/>
          <w:sz w:val="32"/>
          <w:szCs w:val="32"/>
        </w:rPr>
        <w:t>894.22</w:t>
      </w:r>
      <w:r w:rsidR="0079152A" w:rsidRPr="00151884">
        <w:rPr>
          <w:rFonts w:ascii="仿宋_GB2312" w:eastAsia="仿宋_GB2312" w:hAnsi="仿宋" w:hint="eastAsia"/>
          <w:sz w:val="32"/>
          <w:szCs w:val="32"/>
        </w:rPr>
        <w:t>万元，年初预算</w:t>
      </w:r>
      <w:r w:rsidR="0079152A">
        <w:rPr>
          <w:rFonts w:ascii="仿宋_GB2312" w:eastAsia="仿宋_GB2312" w:hAnsi="仿宋" w:hint="eastAsia"/>
          <w:sz w:val="32"/>
          <w:szCs w:val="32"/>
        </w:rPr>
        <w:t>0</w:t>
      </w:r>
      <w:r w:rsidR="0079152A" w:rsidRPr="00151884">
        <w:rPr>
          <w:rFonts w:ascii="仿宋_GB2312" w:eastAsia="仿宋_GB2312" w:hAnsi="仿宋" w:hint="eastAsia"/>
          <w:sz w:val="32"/>
          <w:szCs w:val="32"/>
        </w:rPr>
        <w:t>万元，调整追加</w:t>
      </w:r>
      <w:r w:rsidR="00406DB9">
        <w:rPr>
          <w:rFonts w:ascii="仿宋_GB2312" w:eastAsia="仿宋_GB2312" w:hAnsi="仿宋" w:hint="eastAsia"/>
          <w:sz w:val="32"/>
          <w:szCs w:val="32"/>
        </w:rPr>
        <w:t>1894.22</w:t>
      </w:r>
      <w:r w:rsidR="0079152A" w:rsidRPr="00151884">
        <w:rPr>
          <w:rFonts w:ascii="仿宋_GB2312" w:eastAsia="仿宋_GB2312" w:hAnsi="仿宋" w:hint="eastAsia"/>
          <w:sz w:val="32"/>
          <w:szCs w:val="32"/>
        </w:rPr>
        <w:t>万元</w:t>
      </w:r>
      <w:r w:rsidR="00EA6317">
        <w:rPr>
          <w:rFonts w:ascii="仿宋_GB2312" w:eastAsia="仿宋_GB2312" w:hAnsi="仿宋" w:hint="eastAsia"/>
          <w:sz w:val="32"/>
          <w:szCs w:val="32"/>
        </w:rPr>
        <w:t>。</w:t>
      </w:r>
    </w:p>
    <w:p w:rsidR="00EA6317" w:rsidRDefault="007E6B2B" w:rsidP="007A361F">
      <w:pPr>
        <w:pStyle w:val="a3"/>
        <w:widowControl/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三、政府性基金预算支出情况</w:t>
      </w:r>
    </w:p>
    <w:p w:rsidR="007A361F" w:rsidRPr="00EA6317" w:rsidRDefault="007A361F" w:rsidP="007A361F">
      <w:pPr>
        <w:pStyle w:val="a3"/>
        <w:widowControl/>
        <w:spacing w:line="560" w:lineRule="exact"/>
        <w:ind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A6317">
        <w:rPr>
          <w:rFonts w:ascii="仿宋_GB2312" w:eastAsia="仿宋_GB2312" w:hAnsi="Times New Roman" w:hint="eastAsia"/>
          <w:sz w:val="32"/>
          <w:szCs w:val="32"/>
        </w:rPr>
        <w:t>本年度无政府性基金预算支出</w:t>
      </w:r>
      <w:r w:rsidR="00EA6317" w:rsidRPr="00EA6317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A6317" w:rsidRDefault="007E6B2B" w:rsidP="007A361F">
      <w:pPr>
        <w:pStyle w:val="a3"/>
        <w:widowControl/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四、国有资本经营预算支出情况</w:t>
      </w:r>
    </w:p>
    <w:p w:rsidR="007E6B2B" w:rsidRPr="00EA6317" w:rsidRDefault="007A361F" w:rsidP="007A361F">
      <w:pPr>
        <w:pStyle w:val="a3"/>
        <w:widowControl/>
        <w:spacing w:line="560" w:lineRule="exact"/>
        <w:ind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A6317">
        <w:rPr>
          <w:rFonts w:ascii="仿宋_GB2312" w:eastAsia="仿宋_GB2312" w:hAnsi="Times New Roman" w:hint="eastAsia"/>
          <w:sz w:val="32"/>
          <w:szCs w:val="32"/>
        </w:rPr>
        <w:t>本年度无国有资本经营预算支出</w:t>
      </w:r>
      <w:r w:rsidR="00EA6317" w:rsidRPr="00EA6317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A6317" w:rsidRDefault="007E6B2B" w:rsidP="007A361F">
      <w:pPr>
        <w:pStyle w:val="a3"/>
        <w:widowControl/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五、社会保险基金预算支出情况</w:t>
      </w:r>
    </w:p>
    <w:p w:rsidR="007E6B2B" w:rsidRPr="00EA6317" w:rsidRDefault="007A361F" w:rsidP="007A361F">
      <w:pPr>
        <w:pStyle w:val="a3"/>
        <w:widowControl/>
        <w:spacing w:line="560" w:lineRule="exact"/>
        <w:ind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A6317">
        <w:rPr>
          <w:rFonts w:ascii="仿宋_GB2312" w:eastAsia="仿宋_GB2312" w:hAnsi="Times New Roman" w:hint="eastAsia"/>
          <w:sz w:val="32"/>
          <w:szCs w:val="32"/>
        </w:rPr>
        <w:t>本年度无社会保险基金预算支出</w:t>
      </w:r>
      <w:r w:rsidR="00EA6317" w:rsidRPr="00EA6317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六、资金使用及绩效情况（包含单位管理的公共专项）</w:t>
      </w:r>
    </w:p>
    <w:p w:rsidR="007E6B2B" w:rsidRPr="00DE778F" w:rsidRDefault="007E6B2B" w:rsidP="00DE778F">
      <w:pPr>
        <w:tabs>
          <w:tab w:val="left" w:pos="7560"/>
        </w:tabs>
        <w:adjustRightInd w:val="0"/>
        <w:snapToGrid w:val="0"/>
        <w:spacing w:line="560" w:lineRule="exact"/>
        <w:ind w:firstLineChars="147" w:firstLine="472"/>
        <w:rPr>
          <w:rFonts w:ascii="楷体" w:eastAsia="楷体" w:hAnsi="楷体"/>
          <w:b/>
          <w:sz w:val="32"/>
          <w:szCs w:val="32"/>
        </w:rPr>
      </w:pPr>
      <w:r w:rsidRPr="00DE778F">
        <w:rPr>
          <w:rFonts w:ascii="楷体" w:eastAsia="楷体" w:hAnsi="楷体" w:hint="eastAsia"/>
          <w:b/>
          <w:sz w:val="32"/>
          <w:szCs w:val="32"/>
        </w:rPr>
        <w:t>（一）整体支出绩效情况</w:t>
      </w:r>
    </w:p>
    <w:p w:rsidR="007A361F" w:rsidRDefault="007A361F" w:rsidP="007A361F">
      <w:pPr>
        <w:tabs>
          <w:tab w:val="left" w:pos="7560"/>
        </w:tabs>
        <w:adjustRightInd w:val="0"/>
        <w:snapToGrid w:val="0"/>
        <w:spacing w:line="312" w:lineRule="auto"/>
        <w:ind w:firstLineChars="196" w:firstLine="706"/>
        <w:jc w:val="left"/>
        <w:rPr>
          <w:rFonts w:ascii="仿宋_GB2312" w:eastAsia="仿宋_GB2312"/>
          <w:spacing w:val="20"/>
          <w:sz w:val="32"/>
          <w:szCs w:val="32"/>
        </w:rPr>
      </w:pPr>
      <w:r w:rsidRPr="00151884">
        <w:rPr>
          <w:rFonts w:ascii="仿宋_GB2312" w:eastAsia="仿宋_GB2312"/>
          <w:spacing w:val="20"/>
          <w:sz w:val="32"/>
          <w:szCs w:val="32"/>
        </w:rPr>
        <w:t>202</w:t>
      </w:r>
      <w:r w:rsidR="00F91BB5">
        <w:rPr>
          <w:rFonts w:ascii="仿宋_GB2312" w:eastAsia="仿宋_GB2312" w:hint="eastAsia"/>
          <w:spacing w:val="20"/>
          <w:sz w:val="32"/>
          <w:szCs w:val="32"/>
        </w:rPr>
        <w:t>3</w:t>
      </w:r>
      <w:r w:rsidRPr="00151884">
        <w:rPr>
          <w:rFonts w:ascii="仿宋_GB2312" w:eastAsia="仿宋_GB2312" w:hint="eastAsia"/>
          <w:spacing w:val="20"/>
          <w:sz w:val="32"/>
          <w:szCs w:val="32"/>
        </w:rPr>
        <w:t>年度预算安排金额</w:t>
      </w:r>
      <w:r>
        <w:rPr>
          <w:rFonts w:ascii="仿宋_GB2312" w:eastAsia="仿宋_GB2312" w:hAnsi="仿宋" w:hint="eastAsia"/>
          <w:sz w:val="32"/>
          <w:szCs w:val="32"/>
        </w:rPr>
        <w:t>3</w:t>
      </w:r>
      <w:r w:rsidR="00406DB9">
        <w:rPr>
          <w:rFonts w:ascii="仿宋_GB2312" w:eastAsia="仿宋_GB2312" w:hAnsi="仿宋" w:hint="eastAsia"/>
          <w:sz w:val="32"/>
          <w:szCs w:val="32"/>
        </w:rPr>
        <w:t>243.37</w:t>
      </w:r>
      <w:r w:rsidRPr="00151884">
        <w:rPr>
          <w:rFonts w:ascii="仿宋_GB2312" w:eastAsia="仿宋_GB2312" w:hint="eastAsia"/>
          <w:spacing w:val="20"/>
          <w:sz w:val="32"/>
          <w:szCs w:val="32"/>
        </w:rPr>
        <w:t>万元，实际资金额度</w:t>
      </w:r>
      <w:r w:rsidR="00CB1492">
        <w:rPr>
          <w:rFonts w:ascii="仿宋_GB2312" w:eastAsia="仿宋_GB2312" w:hAnsi="仿宋" w:hint="eastAsia"/>
          <w:sz w:val="32"/>
          <w:szCs w:val="32"/>
        </w:rPr>
        <w:t>3243.37</w:t>
      </w:r>
      <w:r w:rsidRPr="00151884">
        <w:rPr>
          <w:rFonts w:ascii="仿宋_GB2312" w:eastAsia="仿宋_GB2312" w:hint="eastAsia"/>
          <w:spacing w:val="20"/>
          <w:sz w:val="32"/>
          <w:szCs w:val="32"/>
        </w:rPr>
        <w:t>万元，预算资金执行率</w:t>
      </w:r>
      <w:r w:rsidRPr="00151884">
        <w:rPr>
          <w:rFonts w:ascii="仿宋_GB2312" w:eastAsia="仿宋_GB2312"/>
          <w:spacing w:val="20"/>
          <w:sz w:val="32"/>
          <w:szCs w:val="32"/>
        </w:rPr>
        <w:t>100%</w:t>
      </w:r>
      <w:r>
        <w:rPr>
          <w:rFonts w:ascii="仿宋_GB2312" w:eastAsia="仿宋_GB2312" w:hint="eastAsia"/>
          <w:spacing w:val="20"/>
          <w:sz w:val="32"/>
          <w:szCs w:val="32"/>
        </w:rPr>
        <w:t>。</w:t>
      </w:r>
    </w:p>
    <w:p w:rsidR="003A0DFE" w:rsidRDefault="003A0DFE" w:rsidP="003A0D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1.完成了省物联网监管平台在株洲市的试点建设工作。金彩明天小区作为省物联网监管平台建设试点小区，已建成</w:t>
      </w:r>
      <w:r>
        <w:rPr>
          <w:rFonts w:ascii="仿宋_GB2312" w:eastAsia="仿宋_GB2312" w:hint="eastAsia"/>
          <w:sz w:val="32"/>
          <w:szCs w:val="32"/>
        </w:rPr>
        <w:lastRenderedPageBreak/>
        <w:t>人脸识别为主的监控系统并接入省平台。系统的建成，对出租出借公租房等违规行为起到了很好的震摄作用，规范了公租房的后续管理。</w:t>
      </w:r>
    </w:p>
    <w:p w:rsidR="003A0DFE" w:rsidRPr="007B23FE" w:rsidRDefault="003A0DFE" w:rsidP="003A0DFE">
      <w:pPr>
        <w:ind w:firstLineChars="200" w:firstLine="640"/>
        <w:rPr>
          <w:rFonts w:ascii="楷体" w:eastAsia="楷体" w:hAnsi="楷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15C47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通过法律手段</w:t>
      </w:r>
      <w:r w:rsidRPr="00087D23">
        <w:rPr>
          <w:rFonts w:ascii="仿宋_GB2312" w:eastAsia="仿宋_GB2312" w:hAnsi="楷体" w:hint="eastAsia"/>
          <w:sz w:val="32"/>
          <w:szCs w:val="32"/>
        </w:rPr>
        <w:t>追缴陈欠租金</w:t>
      </w:r>
      <w:r>
        <w:rPr>
          <w:rFonts w:ascii="仿宋_GB2312" w:eastAsia="仿宋_GB2312" w:hAnsi="楷体" w:hint="eastAsia"/>
          <w:sz w:val="32"/>
          <w:szCs w:val="32"/>
        </w:rPr>
        <w:t>，确保国有资产不流失</w:t>
      </w:r>
      <w:r w:rsidRPr="00087D23">
        <w:rPr>
          <w:rFonts w:ascii="仿宋_GB2312" w:eastAsia="仿宋_GB2312" w:hAnsi="楷体" w:hint="eastAsia"/>
          <w:sz w:val="32"/>
          <w:szCs w:val="32"/>
        </w:rPr>
        <w:t>。</w:t>
      </w:r>
      <w:r>
        <w:rPr>
          <w:rFonts w:ascii="仿宋_GB2312" w:eastAsia="仿宋_GB2312" w:hAnsi="楷体" w:hint="eastAsia"/>
          <w:sz w:val="32"/>
          <w:szCs w:val="32"/>
        </w:rPr>
        <w:t>与各区检察机构联合，对234户陈欠租金住户进行了诉讼追缴，追回陈欠租金93万余元。</w:t>
      </w:r>
    </w:p>
    <w:p w:rsidR="003A0DFE" w:rsidRDefault="003A0DFE" w:rsidP="00F91BB5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3200A5">
        <w:rPr>
          <w:rFonts w:ascii="仿宋_GB2312" w:eastAsia="仿宋_GB2312" w:hAnsi="楷体" w:hint="eastAsia"/>
          <w:sz w:val="32"/>
          <w:szCs w:val="32"/>
        </w:rPr>
        <w:t>3.</w:t>
      </w:r>
      <w:r>
        <w:rPr>
          <w:rFonts w:ascii="仿宋_GB2312" w:eastAsia="仿宋_GB2312" w:hAnsi="楷体" w:hint="eastAsia"/>
          <w:sz w:val="32"/>
          <w:szCs w:val="32"/>
        </w:rPr>
        <w:t>与公证机关合作，公证腾退已死亡租户租住的</w:t>
      </w:r>
      <w:r w:rsidRPr="003200A5">
        <w:rPr>
          <w:rFonts w:ascii="仿宋_GB2312" w:eastAsia="仿宋_GB2312" w:hAnsi="楷体" w:hint="eastAsia"/>
          <w:sz w:val="32"/>
          <w:szCs w:val="32"/>
        </w:rPr>
        <w:t>房屋。</w:t>
      </w:r>
      <w:r>
        <w:rPr>
          <w:rFonts w:ascii="仿宋_GB2312" w:eastAsia="仿宋_GB2312" w:hAnsi="楷体" w:hint="eastAsia"/>
          <w:sz w:val="32"/>
          <w:szCs w:val="32"/>
        </w:rPr>
        <w:t>2023年共对23户孤寡老人死亡后，无亲属办理有关手续、所涉财产不好处理、实际闲置的公租房进行了公证清退，确保了公租房的正常流转和使用。</w:t>
      </w:r>
    </w:p>
    <w:p w:rsidR="003A0DFE" w:rsidRDefault="003A0DFE" w:rsidP="003A0DFE">
      <w:pPr>
        <w:ind w:firstLineChars="200" w:firstLine="656"/>
        <w:rPr>
          <w:rStyle w:val="Char"/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" w:hint="eastAsia"/>
          <w:spacing w:val="4"/>
          <w:sz w:val="32"/>
          <w:szCs w:val="32"/>
        </w:rPr>
        <w:t>4</w:t>
      </w:r>
      <w:r w:rsidR="007A361F" w:rsidRPr="00151884">
        <w:rPr>
          <w:rFonts w:ascii="仿宋_GB2312" w:eastAsia="仿宋_GB2312" w:hAnsi="仿宋"/>
          <w:spacing w:val="4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坚持</w:t>
      </w:r>
      <w:r>
        <w:rPr>
          <w:rStyle w:val="Char"/>
          <w:rFonts w:ascii="仿宋_GB2312" w:eastAsia="仿宋_GB2312" w:hAnsi="宋体" w:cs="宋体" w:hint="eastAsia"/>
          <w:sz w:val="32"/>
          <w:szCs w:val="32"/>
        </w:rPr>
        <w:t>例行巡查和节假日巡查、汛期常态化检查相结合，强化直管公房危房的安全管理。2023年共巡查直管公房门面2500余人次，下发整改通知书 5份，防止了消防安全事故的发生</w:t>
      </w:r>
      <w:r>
        <w:rPr>
          <w:rStyle w:val="Char"/>
          <w:rFonts w:ascii="仿宋_GB2312" w:eastAsia="仿宋_GB2312" w:hAnsi="宋体" w:cs="宋体" w:hint="eastAsia"/>
          <w:sz w:val="32"/>
          <w:szCs w:val="32"/>
          <w:lang w:eastAsia="zh-CN"/>
        </w:rPr>
        <w:t>；</w:t>
      </w:r>
      <w:r>
        <w:rPr>
          <w:rStyle w:val="Char"/>
          <w:rFonts w:ascii="仿宋_GB2312" w:eastAsia="仿宋_GB2312" w:hAnsi="宋体" w:cs="宋体" w:hint="eastAsia"/>
          <w:sz w:val="32"/>
          <w:szCs w:val="32"/>
        </w:rPr>
        <w:t>加强维修施工现场的管理，确保不发生重大施工安全事故；重视公租房小区消防安全，不定时到各公租房小区进行检查，确保小区设施设备的正常使用，有力地维护了小区居民的生命财产安全。</w:t>
      </w:r>
    </w:p>
    <w:p w:rsidR="003A0DFE" w:rsidRDefault="003A0DFE" w:rsidP="003A0DFE">
      <w:pPr>
        <w:ind w:firstLineChars="200" w:firstLine="640"/>
        <w:rPr>
          <w:rFonts w:ascii="仿宋_GB2312" w:eastAsia="仿宋_GB2312" w:hAnsi="楷体"/>
          <w:spacing w:val="4"/>
          <w:sz w:val="32"/>
          <w:szCs w:val="32"/>
        </w:rPr>
      </w:pPr>
      <w:r>
        <w:rPr>
          <w:rStyle w:val="Char"/>
          <w:rFonts w:ascii="仿宋_GB2312" w:eastAsia="仿宋_GB2312" w:hAnsi="宋体" w:cs="宋体" w:hint="eastAsia"/>
          <w:sz w:val="32"/>
          <w:szCs w:val="32"/>
          <w:lang w:eastAsia="zh-CN"/>
        </w:rPr>
        <w:t>5.</w:t>
      </w:r>
      <w:r w:rsidRPr="000A3A6C">
        <w:rPr>
          <w:rFonts w:ascii="仿宋_GB2312" w:eastAsia="仿宋_GB2312" w:hAnsi="楷体" w:hint="eastAsia"/>
          <w:spacing w:val="4"/>
          <w:sz w:val="32"/>
          <w:szCs w:val="32"/>
        </w:rPr>
        <w:t>全年共完成租赁补贴发放8582 户（含环卫工人）、公租房住房保障资格审批 221户、租赁补贴申请175 户；完成新增人才公寓申请审批 195户、续租申请审批118 户；完成2022年度新增246户公租房实物配租摇号排序工作；出具未享受福利性住房、公共租赁住房保障政策证明 131</w:t>
      </w:r>
      <w:r w:rsidRPr="000A3A6C">
        <w:rPr>
          <w:rFonts w:ascii="仿宋_GB2312" w:eastAsia="仿宋_GB2312" w:hAnsi="楷体" w:hint="eastAsia"/>
          <w:spacing w:val="4"/>
          <w:sz w:val="32"/>
          <w:szCs w:val="32"/>
        </w:rPr>
        <w:lastRenderedPageBreak/>
        <w:t>户，受到群众好评。</w:t>
      </w:r>
    </w:p>
    <w:p w:rsidR="007A361F" w:rsidRPr="003B14CC" w:rsidRDefault="003A0DFE" w:rsidP="007A361F">
      <w:pPr>
        <w:tabs>
          <w:tab w:val="left" w:pos="7560"/>
        </w:tabs>
        <w:adjustRightInd w:val="0"/>
        <w:snapToGrid w:val="0"/>
        <w:spacing w:line="312" w:lineRule="auto"/>
        <w:ind w:firstLineChars="196" w:firstLine="643"/>
        <w:jc w:val="left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仿宋" w:hint="eastAsia"/>
          <w:spacing w:val="4"/>
          <w:sz w:val="32"/>
          <w:szCs w:val="32"/>
        </w:rPr>
        <w:t>6</w:t>
      </w:r>
      <w:r w:rsidR="007A361F" w:rsidRPr="00151884">
        <w:rPr>
          <w:rFonts w:ascii="仿宋_GB2312" w:eastAsia="仿宋_GB2312" w:hAnsi="仿宋"/>
          <w:spacing w:val="4"/>
          <w:sz w:val="32"/>
          <w:szCs w:val="32"/>
        </w:rPr>
        <w:t>.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重视信访</w:t>
      </w:r>
      <w:r w:rsidR="007A361F">
        <w:rPr>
          <w:rFonts w:ascii="仿宋_GB2312" w:eastAsia="仿宋_GB2312" w:hAnsi="仿宋" w:hint="eastAsia"/>
          <w:spacing w:val="4"/>
          <w:sz w:val="32"/>
          <w:szCs w:val="32"/>
        </w:rPr>
        <w:t>维稳工作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，有效化解社会矛盾</w:t>
      </w:r>
      <w:r w:rsidR="007A361F" w:rsidRPr="00151884">
        <w:rPr>
          <w:rFonts w:ascii="仿宋_GB2312" w:eastAsia="仿宋_GB2312" w:hAnsi="仿宋" w:cs="宋体" w:hint="eastAsia"/>
          <w:sz w:val="32"/>
          <w:szCs w:val="32"/>
        </w:rPr>
        <w:t>。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全年共收到各类信访件</w:t>
      </w:r>
      <w:r w:rsidR="007A361F" w:rsidRPr="00151884">
        <w:rPr>
          <w:rFonts w:ascii="仿宋_GB2312" w:eastAsia="仿宋_GB2312" w:hAnsi="仿宋"/>
          <w:spacing w:val="4"/>
          <w:sz w:val="32"/>
          <w:szCs w:val="32"/>
        </w:rPr>
        <w:t>8</w:t>
      </w:r>
      <w:r>
        <w:rPr>
          <w:rFonts w:ascii="仿宋_GB2312" w:eastAsia="仿宋_GB2312" w:hAnsi="仿宋" w:hint="eastAsia"/>
          <w:spacing w:val="4"/>
          <w:sz w:val="32"/>
          <w:szCs w:val="32"/>
        </w:rPr>
        <w:t>2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件，均在第一时间进行了办理。信访工作的回复率、办结率均为</w:t>
      </w:r>
      <w:r w:rsidR="007A361F" w:rsidRPr="00151884">
        <w:rPr>
          <w:rFonts w:ascii="仿宋_GB2312" w:eastAsia="仿宋_GB2312" w:hAnsi="仿宋"/>
          <w:spacing w:val="4"/>
          <w:sz w:val="32"/>
          <w:szCs w:val="32"/>
        </w:rPr>
        <w:t>100%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，满意率达到</w:t>
      </w:r>
      <w:r w:rsidR="007A361F" w:rsidRPr="00151884">
        <w:rPr>
          <w:rFonts w:ascii="仿宋_GB2312" w:eastAsia="仿宋_GB2312" w:hAnsi="仿宋"/>
          <w:spacing w:val="4"/>
          <w:sz w:val="32"/>
          <w:szCs w:val="32"/>
        </w:rPr>
        <w:t>95%</w:t>
      </w:r>
      <w:r w:rsidR="007A361F" w:rsidRPr="00151884">
        <w:rPr>
          <w:rFonts w:ascii="仿宋_GB2312" w:eastAsia="仿宋_GB2312" w:hAnsi="仿宋" w:hint="eastAsia"/>
          <w:spacing w:val="4"/>
          <w:sz w:val="32"/>
          <w:szCs w:val="32"/>
        </w:rPr>
        <w:t>以上，全年无集访群访事件发生，有效化解了相关矛盾。</w:t>
      </w:r>
    </w:p>
    <w:p w:rsidR="007E6B2B" w:rsidRPr="00DE778F" w:rsidRDefault="007E6B2B" w:rsidP="00DE778F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DE778F">
        <w:rPr>
          <w:rFonts w:ascii="楷体" w:eastAsia="楷体" w:hAnsi="楷体" w:hint="eastAsia"/>
          <w:b/>
          <w:sz w:val="32"/>
          <w:szCs w:val="32"/>
        </w:rPr>
        <w:t>（二）项目支出绩效情况</w:t>
      </w:r>
    </w:p>
    <w:p w:rsidR="007E6B2B" w:rsidRDefault="007E6B2B" w:rsidP="007A361F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1.年初预算项目：</w:t>
      </w:r>
      <w:r w:rsidR="007A361F">
        <w:rPr>
          <w:rFonts w:ascii="仿宋_GB2312" w:eastAsia="仿宋_GB2312" w:hint="eastAsia"/>
          <w:sz w:val="32"/>
          <w:szCs w:val="32"/>
        </w:rPr>
        <w:t>无</w:t>
      </w:r>
      <w:r w:rsidR="00585A12">
        <w:rPr>
          <w:rFonts w:ascii="仿宋_GB2312" w:eastAsia="仿宋_GB2312" w:hint="eastAsia"/>
          <w:sz w:val="32"/>
          <w:szCs w:val="32"/>
        </w:rPr>
        <w:t>。</w:t>
      </w:r>
    </w:p>
    <w:p w:rsidR="007A361F" w:rsidRPr="00BC5874" w:rsidRDefault="007A361F" w:rsidP="007A361F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C5874">
        <w:rPr>
          <w:rFonts w:ascii="仿宋_GB2312" w:eastAsia="仿宋_GB2312" w:hint="eastAsia"/>
          <w:sz w:val="32"/>
          <w:szCs w:val="32"/>
        </w:rPr>
        <w:t>2.年中追加项目“</w:t>
      </w:r>
      <w:r>
        <w:rPr>
          <w:rFonts w:ascii="仿宋_GB2312" w:eastAsia="仿宋_GB2312" w:hint="eastAsia"/>
          <w:sz w:val="32"/>
          <w:szCs w:val="32"/>
        </w:rPr>
        <w:t>保障性住房维护管理费用</w:t>
      </w:r>
      <w:r w:rsidRPr="00BC5874">
        <w:rPr>
          <w:rFonts w:ascii="仿宋_GB2312" w:eastAsia="仿宋_GB2312" w:hint="eastAsia"/>
          <w:sz w:val="32"/>
          <w:szCs w:val="32"/>
        </w:rPr>
        <w:t>”，金额</w:t>
      </w:r>
      <w:r w:rsidR="00406DB9">
        <w:rPr>
          <w:rFonts w:ascii="仿宋_GB2312" w:eastAsia="仿宋_GB2312" w:hint="eastAsia"/>
          <w:sz w:val="32"/>
          <w:szCs w:val="32"/>
        </w:rPr>
        <w:t>1894.22</w:t>
      </w:r>
      <w:r w:rsidRPr="00BC5874">
        <w:rPr>
          <w:rFonts w:ascii="仿宋_GB2312" w:eastAsia="仿宋_GB2312" w:hint="eastAsia"/>
          <w:sz w:val="32"/>
          <w:szCs w:val="32"/>
        </w:rPr>
        <w:t>万元，实际支出</w:t>
      </w:r>
      <w:r w:rsidR="00406DB9">
        <w:rPr>
          <w:rFonts w:ascii="仿宋_GB2312" w:eastAsia="仿宋_GB2312" w:hint="eastAsia"/>
          <w:sz w:val="32"/>
          <w:szCs w:val="32"/>
        </w:rPr>
        <w:t>1894.22</w:t>
      </w:r>
      <w:r w:rsidRPr="00BC5874">
        <w:rPr>
          <w:rFonts w:ascii="仿宋_GB2312" w:eastAsia="仿宋_GB2312" w:hint="eastAsia"/>
          <w:sz w:val="32"/>
          <w:szCs w:val="32"/>
        </w:rPr>
        <w:t>万元，结余结转</w:t>
      </w:r>
      <w:r>
        <w:rPr>
          <w:rFonts w:ascii="仿宋_GB2312" w:eastAsia="仿宋_GB2312" w:hint="eastAsia"/>
          <w:sz w:val="32"/>
          <w:szCs w:val="32"/>
        </w:rPr>
        <w:t>0</w:t>
      </w:r>
      <w:r w:rsidRPr="00BC5874">
        <w:rPr>
          <w:rFonts w:ascii="仿宋_GB2312" w:eastAsia="仿宋_GB2312" w:hint="eastAsia"/>
          <w:sz w:val="32"/>
          <w:szCs w:val="32"/>
        </w:rPr>
        <w:t>万元。项目实施及绩效情况如下：</w:t>
      </w:r>
    </w:p>
    <w:p w:rsidR="007A361F" w:rsidRPr="00BC5874" w:rsidRDefault="007A361F" w:rsidP="007A361F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C5874"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 w:hint="eastAsia"/>
          <w:sz w:val="32"/>
          <w:szCs w:val="32"/>
        </w:rPr>
        <w:t>人才购房补贴发放</w:t>
      </w:r>
      <w:r w:rsidRPr="00BC5874">
        <w:rPr>
          <w:rFonts w:ascii="仿宋_GB2312" w:eastAsia="仿宋_GB2312" w:hint="eastAsia"/>
          <w:sz w:val="32"/>
          <w:szCs w:val="32"/>
        </w:rPr>
        <w:t>项目</w:t>
      </w:r>
    </w:p>
    <w:p w:rsidR="007A361F" w:rsidRDefault="007A361F" w:rsidP="007A361F">
      <w:pPr>
        <w:tabs>
          <w:tab w:val="left" w:pos="7560"/>
        </w:tabs>
        <w:adjustRightInd w:val="0"/>
        <w:snapToGrid w:val="0"/>
        <w:spacing w:line="312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C5874">
        <w:rPr>
          <w:rFonts w:ascii="仿宋_GB2312" w:eastAsia="仿宋_GB2312" w:hint="eastAsia"/>
          <w:sz w:val="32"/>
          <w:szCs w:val="32"/>
        </w:rPr>
        <w:t>项目支出</w:t>
      </w:r>
      <w:r>
        <w:rPr>
          <w:rFonts w:ascii="仿宋_GB2312" w:eastAsia="仿宋_GB2312" w:hint="eastAsia"/>
          <w:sz w:val="32"/>
          <w:szCs w:val="32"/>
        </w:rPr>
        <w:t>913</w:t>
      </w:r>
      <w:r w:rsidRPr="00BC5874">
        <w:rPr>
          <w:rFonts w:ascii="仿宋_GB2312" w:eastAsia="仿宋_GB2312" w:hint="eastAsia"/>
          <w:sz w:val="32"/>
          <w:szCs w:val="32"/>
        </w:rPr>
        <w:t>万元，主要</w:t>
      </w:r>
      <w:r w:rsidRPr="00A721A5">
        <w:rPr>
          <w:rFonts w:ascii="仿宋_GB2312" w:eastAsia="仿宋_GB2312" w:hint="eastAsia"/>
          <w:sz w:val="32"/>
          <w:szCs w:val="32"/>
        </w:rPr>
        <w:t>用于</w:t>
      </w:r>
      <w:r>
        <w:rPr>
          <w:rFonts w:ascii="仿宋_GB2312" w:eastAsia="仿宋_GB2312" w:hint="eastAsia"/>
          <w:sz w:val="32"/>
          <w:szCs w:val="32"/>
        </w:rPr>
        <w:t>人才购房补贴发放，共发放</w:t>
      </w:r>
      <w:r w:rsidR="00406DB9">
        <w:rPr>
          <w:rFonts w:ascii="仿宋_GB2312" w:eastAsia="仿宋_GB2312" w:hint="eastAsia"/>
          <w:sz w:val="32"/>
          <w:szCs w:val="32"/>
        </w:rPr>
        <w:t>305</w:t>
      </w:r>
      <w:r>
        <w:rPr>
          <w:rFonts w:ascii="仿宋_GB2312" w:eastAsia="仿宋_GB2312" w:hint="eastAsia"/>
          <w:sz w:val="32"/>
          <w:szCs w:val="32"/>
        </w:rPr>
        <w:t>人。（发放标椎本科毕业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人，硕士毕业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人，博士毕业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A361F" w:rsidRPr="00BC5874" w:rsidRDefault="007A361F" w:rsidP="00DE778F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5874"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保障性住房维护管理</w:t>
      </w:r>
      <w:r w:rsidRPr="00BC5874">
        <w:rPr>
          <w:rFonts w:ascii="仿宋_GB2312" w:eastAsia="仿宋_GB2312" w:hint="eastAsia"/>
          <w:sz w:val="32"/>
          <w:szCs w:val="32"/>
        </w:rPr>
        <w:t>项目</w:t>
      </w:r>
    </w:p>
    <w:p w:rsidR="007A361F" w:rsidRDefault="007A361F" w:rsidP="00DE778F">
      <w:pPr>
        <w:tabs>
          <w:tab w:val="left" w:pos="7560"/>
        </w:tabs>
        <w:adjustRightInd w:val="0"/>
        <w:snapToGrid w:val="0"/>
        <w:spacing w:line="312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C5874">
        <w:rPr>
          <w:rFonts w:ascii="仿宋_GB2312" w:eastAsia="仿宋_GB2312" w:hint="eastAsia"/>
          <w:sz w:val="32"/>
          <w:szCs w:val="32"/>
        </w:rPr>
        <w:t>项目支出</w:t>
      </w:r>
      <w:r>
        <w:rPr>
          <w:rFonts w:ascii="仿宋_GB2312" w:eastAsia="仿宋_GB2312" w:hint="eastAsia"/>
          <w:sz w:val="32"/>
          <w:szCs w:val="32"/>
        </w:rPr>
        <w:t>981.</w:t>
      </w:r>
      <w:r w:rsidR="00406DB9">
        <w:rPr>
          <w:rFonts w:ascii="仿宋_GB2312" w:eastAsia="仿宋_GB2312" w:hint="eastAsia"/>
          <w:sz w:val="32"/>
          <w:szCs w:val="32"/>
        </w:rPr>
        <w:t>22</w:t>
      </w:r>
      <w:r w:rsidRPr="00BC5874">
        <w:rPr>
          <w:rFonts w:ascii="仿宋_GB2312" w:eastAsia="仿宋_GB2312" w:hint="eastAsia"/>
          <w:sz w:val="32"/>
          <w:szCs w:val="32"/>
        </w:rPr>
        <w:t>万元，主要</w:t>
      </w:r>
      <w:r w:rsidRPr="00A721A5">
        <w:rPr>
          <w:rFonts w:ascii="仿宋_GB2312" w:eastAsia="仿宋_GB2312" w:hint="eastAsia"/>
          <w:sz w:val="32"/>
          <w:szCs w:val="32"/>
        </w:rPr>
        <w:t>用于</w:t>
      </w:r>
      <w:r>
        <w:rPr>
          <w:rFonts w:ascii="仿宋_GB2312" w:eastAsia="仿宋_GB2312" w:hint="eastAsia"/>
          <w:sz w:val="32"/>
          <w:szCs w:val="32"/>
        </w:rPr>
        <w:t>保障性住房维护管理费用，具体为</w:t>
      </w:r>
      <w:r w:rsidR="003A0DFE">
        <w:rPr>
          <w:rFonts w:ascii="仿宋_GB2312" w:eastAsia="仿宋_GB2312" w:hint="eastAsia"/>
          <w:sz w:val="32"/>
          <w:szCs w:val="32"/>
        </w:rPr>
        <w:t>：1.</w:t>
      </w:r>
      <w:r>
        <w:rPr>
          <w:rFonts w:ascii="仿宋_GB2312" w:eastAsia="仿宋_GB2312" w:hint="eastAsia"/>
          <w:sz w:val="32"/>
          <w:szCs w:val="32"/>
        </w:rPr>
        <w:t>对6600</w:t>
      </w:r>
      <w:r w:rsidR="00EA6317">
        <w:rPr>
          <w:rFonts w:ascii="仿宋_GB2312" w:eastAsia="仿宋_GB2312" w:hint="eastAsia"/>
          <w:sz w:val="32"/>
          <w:szCs w:val="32"/>
        </w:rPr>
        <w:t>多套公租房实行物业管理服务；</w:t>
      </w:r>
      <w:r>
        <w:rPr>
          <w:rFonts w:ascii="仿宋_GB2312" w:eastAsia="仿宋_GB2312" w:hint="eastAsia"/>
          <w:sz w:val="32"/>
          <w:szCs w:val="32"/>
        </w:rPr>
        <w:t>2</w:t>
      </w:r>
      <w:r w:rsidR="00EA631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对308多处公租房房屋漏水维修、监控系统改造、电梯维修及公共下水管道维修改造等。及时解决了公租房住户反馈的问题，提高了住户的满意度。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七、存在的问题及原因分析</w:t>
      </w:r>
    </w:p>
    <w:p w:rsidR="007A361F" w:rsidRDefault="007A361F" w:rsidP="00DE778F">
      <w:pPr>
        <w:tabs>
          <w:tab w:val="left" w:pos="7560"/>
        </w:tabs>
        <w:adjustRightInd w:val="0"/>
        <w:snapToGrid w:val="0"/>
        <w:spacing w:line="312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1.虽然对项目资金进行了监督和检查，形成</w:t>
      </w:r>
      <w:r w:rsidR="00DE778F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书面报告，但由于各种客观原因，公租房</w:t>
      </w:r>
      <w:r w:rsidR="00DE778F">
        <w:rPr>
          <w:rFonts w:ascii="仿宋_GB2312" w:eastAsia="仿宋_GB2312" w:hint="eastAsia"/>
          <w:sz w:val="32"/>
          <w:szCs w:val="32"/>
        </w:rPr>
        <w:t>有</w:t>
      </w:r>
      <w:r w:rsidR="00EA6317">
        <w:rPr>
          <w:rFonts w:ascii="仿宋_GB2312" w:eastAsia="仿宋_GB2312" w:hint="eastAsia"/>
          <w:sz w:val="32"/>
          <w:szCs w:val="32"/>
        </w:rPr>
        <w:t>空置现象</w:t>
      </w:r>
      <w:r w:rsidR="00DE778F">
        <w:rPr>
          <w:rFonts w:ascii="仿宋_GB2312" w:eastAsia="仿宋_GB2312" w:hint="eastAsia"/>
          <w:sz w:val="32"/>
          <w:szCs w:val="32"/>
        </w:rPr>
        <w:t>，未能实现</w:t>
      </w:r>
      <w:r w:rsidR="00DE778F">
        <w:rPr>
          <w:rFonts w:ascii="仿宋_GB2312" w:eastAsia="仿宋_GB2312"/>
          <w:sz w:val="32"/>
          <w:szCs w:val="32"/>
        </w:rPr>
        <w:t>100%</w:t>
      </w:r>
      <w:r w:rsidR="00DE778F">
        <w:rPr>
          <w:rFonts w:ascii="仿宋_GB2312" w:eastAsia="仿宋_GB2312" w:hint="eastAsia"/>
          <w:sz w:val="32"/>
          <w:szCs w:val="32"/>
        </w:rPr>
        <w:t>实物分配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361F" w:rsidRDefault="007A361F" w:rsidP="007A361F">
      <w:pPr>
        <w:spacing w:line="30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A6317">
        <w:rPr>
          <w:rFonts w:ascii="仿宋_GB2312" w:eastAsia="仿宋_GB2312" w:hint="eastAsia"/>
          <w:sz w:val="32"/>
          <w:szCs w:val="32"/>
        </w:rPr>
        <w:t>经济下行及</w:t>
      </w:r>
      <w:r w:rsidRPr="001A4537">
        <w:rPr>
          <w:rFonts w:ascii="仿宋_GB2312" w:eastAsia="仿宋_GB2312" w:hint="eastAsia"/>
          <w:sz w:val="32"/>
          <w:szCs w:val="32"/>
        </w:rPr>
        <w:t>电商冲击对全年经济任务目标完成造成</w:t>
      </w:r>
      <w:r w:rsidRPr="001A4537">
        <w:rPr>
          <w:rFonts w:ascii="仿宋_GB2312" w:eastAsia="仿宋_GB2312" w:hint="eastAsia"/>
          <w:sz w:val="32"/>
          <w:szCs w:val="32"/>
        </w:rPr>
        <w:lastRenderedPageBreak/>
        <w:t>重大影响。</w:t>
      </w:r>
      <w:r w:rsidR="00EA6317">
        <w:rPr>
          <w:rFonts w:ascii="仿宋_GB2312" w:eastAsia="仿宋_GB2312" w:hint="eastAsia"/>
          <w:sz w:val="32"/>
          <w:szCs w:val="32"/>
        </w:rPr>
        <w:t>受经济下行影响，</w:t>
      </w:r>
      <w:r w:rsidR="00DE778F">
        <w:rPr>
          <w:rFonts w:ascii="仿宋_GB2312" w:eastAsia="仿宋_GB2312" w:hint="eastAsia"/>
          <w:sz w:val="32"/>
          <w:szCs w:val="32"/>
        </w:rPr>
        <w:t>门面</w:t>
      </w:r>
      <w:r w:rsidR="00EA6317">
        <w:rPr>
          <w:rFonts w:ascii="仿宋_GB2312" w:eastAsia="仿宋_GB2312" w:hint="eastAsia"/>
          <w:sz w:val="32"/>
          <w:szCs w:val="32"/>
        </w:rPr>
        <w:t>经营活动缺乏赚钱效应，租赁户纷纷申请下调租金；</w:t>
      </w:r>
      <w:r w:rsidRPr="001A4537">
        <w:rPr>
          <w:rFonts w:ascii="仿宋_GB2312" w:eastAsia="仿宋_GB2312" w:hint="eastAsia"/>
          <w:sz w:val="32"/>
          <w:szCs w:val="32"/>
        </w:rPr>
        <w:t>方便快捷的电商已成为当下很多年轻人的购物首选，加之电商商品较实体店商品偏低，实体店经营现在已是举步维艰；“一铺养三代”的好时光已不复存在，商铺不再是香饽饽，空租现象日渐增多，严重影响每年的经济任务目标完成。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八、下一步改进措施</w:t>
      </w:r>
    </w:p>
    <w:p w:rsidR="0039769A" w:rsidRDefault="0039769A" w:rsidP="0039769A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今后，将努力协调相关单位及部门间的关系，确保全年目标任务的完成；加强财务预算的管理，尽量做到预算工作更加精准；培训相关人员业务知识，提高他们的工作效率;已专题向市政府报请</w:t>
      </w:r>
      <w:r>
        <w:rPr>
          <w:rFonts w:ascii="仿宋_GB2312" w:eastAsia="仿宋_GB2312" w:hAnsi="仿宋_GB2312" w:cs="仿宋_GB2312" w:hint="eastAsia"/>
          <w:sz w:val="32"/>
          <w:szCs w:val="32"/>
        </w:rPr>
        <w:t>适当开放</w:t>
      </w:r>
      <w:r>
        <w:rPr>
          <w:rFonts w:eastAsia="仿宋_GB2312" w:hint="eastAsia"/>
          <w:sz w:val="32"/>
          <w:szCs w:val="32"/>
        </w:rPr>
        <w:t>新就业无房职工和外来务工人员申请公租房资格，解决</w:t>
      </w:r>
      <w:r>
        <w:rPr>
          <w:rFonts w:ascii="仿宋_GB2312" w:eastAsia="仿宋_GB2312" w:hint="eastAsia"/>
          <w:sz w:val="32"/>
          <w:szCs w:val="32"/>
        </w:rPr>
        <w:t>公租房空置问题；做好市场租金调研，适当调整租金标准，通过</w:t>
      </w:r>
      <w:r w:rsidRPr="003A107A">
        <w:rPr>
          <w:rFonts w:ascii="仿宋_GB2312" w:eastAsia="仿宋_GB2312" w:hint="eastAsia"/>
          <w:sz w:val="32"/>
          <w:szCs w:val="32"/>
        </w:rPr>
        <w:t>加大招商工作力度，多渠道发布招租公告，抓住开年后门面需求旺季的时机，全力解决门面空租问题</w:t>
      </w:r>
      <w:r>
        <w:rPr>
          <w:rFonts w:ascii="仿宋_GB2312" w:eastAsia="仿宋_GB2312" w:hint="eastAsia"/>
          <w:sz w:val="32"/>
          <w:szCs w:val="32"/>
        </w:rPr>
        <w:t>,降低门面空置率。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九、部门整体支出绩效自评结果拟应用和公开情况</w:t>
      </w:r>
    </w:p>
    <w:p w:rsidR="007A361F" w:rsidRPr="007A361F" w:rsidRDefault="007A361F" w:rsidP="00DE778F">
      <w:pPr>
        <w:widowControl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D725A">
        <w:rPr>
          <w:rFonts w:ascii="仿宋_GB2312" w:eastAsia="仿宋_GB2312" w:hint="eastAsia"/>
          <w:sz w:val="32"/>
          <w:szCs w:val="32"/>
        </w:rPr>
        <w:t>部门整体支出绩效自评结果</w:t>
      </w:r>
      <w:r>
        <w:rPr>
          <w:rFonts w:ascii="仿宋_GB2312" w:eastAsia="仿宋_GB2312" w:hint="eastAsia"/>
          <w:sz w:val="32"/>
          <w:szCs w:val="32"/>
        </w:rPr>
        <w:t>将在株洲市住建局官网公开。</w:t>
      </w:r>
    </w:p>
    <w:p w:rsidR="007E6B2B" w:rsidRPr="00DE778F" w:rsidRDefault="00DE778F" w:rsidP="007E6B2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778F">
        <w:rPr>
          <w:rFonts w:ascii="黑体" w:eastAsia="黑体" w:hAnsi="黑体" w:hint="eastAsia"/>
          <w:sz w:val="32"/>
          <w:szCs w:val="32"/>
        </w:rPr>
        <w:t>十、</w:t>
      </w:r>
      <w:r w:rsidR="007E6B2B" w:rsidRPr="00DE778F">
        <w:rPr>
          <w:rFonts w:ascii="黑体" w:eastAsia="黑体" w:hAnsi="黑体" w:hint="eastAsia"/>
          <w:sz w:val="32"/>
          <w:szCs w:val="32"/>
        </w:rPr>
        <w:t>其他需要说明的情况</w:t>
      </w:r>
    </w:p>
    <w:p w:rsidR="007A361F" w:rsidRDefault="007A361F" w:rsidP="007A361F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无。</w:t>
      </w:r>
    </w:p>
    <w:p w:rsidR="007A361F" w:rsidRDefault="003E4304" w:rsidP="007A361F">
      <w:pPr>
        <w:tabs>
          <w:tab w:val="left" w:pos="7560"/>
        </w:tabs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E6B2B" w:rsidRDefault="007E6B2B" w:rsidP="003E4304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 2023年度部门整体支出绩效评价基础数据表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2023年度部门整体支出绩效自评表</w:t>
      </w:r>
    </w:p>
    <w:p w:rsidR="007E6B2B" w:rsidRDefault="007E6B2B" w:rsidP="007E6B2B">
      <w:pPr>
        <w:tabs>
          <w:tab w:val="left" w:pos="7560"/>
        </w:tabs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2023年度项目支出绩效自评表</w:t>
      </w:r>
    </w:p>
    <w:p w:rsidR="00803464" w:rsidRDefault="00803464"/>
    <w:tbl>
      <w:tblPr>
        <w:tblW w:w="11215" w:type="dxa"/>
        <w:tblInd w:w="93" w:type="dxa"/>
        <w:tblLook w:val="04A0"/>
      </w:tblPr>
      <w:tblGrid>
        <w:gridCol w:w="754"/>
        <w:gridCol w:w="26"/>
        <w:gridCol w:w="1080"/>
        <w:gridCol w:w="592"/>
        <w:gridCol w:w="398"/>
        <w:gridCol w:w="70"/>
        <w:gridCol w:w="168"/>
        <w:gridCol w:w="75"/>
        <w:gridCol w:w="234"/>
        <w:gridCol w:w="810"/>
        <w:gridCol w:w="22"/>
        <w:gridCol w:w="164"/>
        <w:gridCol w:w="164"/>
        <w:gridCol w:w="466"/>
        <w:gridCol w:w="469"/>
        <w:gridCol w:w="271"/>
        <w:gridCol w:w="152"/>
        <w:gridCol w:w="83"/>
        <w:gridCol w:w="396"/>
        <w:gridCol w:w="228"/>
        <w:gridCol w:w="260"/>
        <w:gridCol w:w="207"/>
        <w:gridCol w:w="409"/>
        <w:gridCol w:w="67"/>
        <w:gridCol w:w="507"/>
        <w:gridCol w:w="152"/>
        <w:gridCol w:w="218"/>
        <w:gridCol w:w="78"/>
        <w:gridCol w:w="95"/>
        <w:gridCol w:w="217"/>
        <w:gridCol w:w="335"/>
        <w:gridCol w:w="281"/>
        <w:gridCol w:w="146"/>
        <w:gridCol w:w="147"/>
        <w:gridCol w:w="416"/>
        <w:gridCol w:w="197"/>
        <w:gridCol w:w="1080"/>
      </w:tblGrid>
      <w:tr w:rsidR="00B26C24" w:rsidRPr="00B26C24" w:rsidTr="00585A12">
        <w:trPr>
          <w:gridAfter w:val="2"/>
          <w:wAfter w:w="1277" w:type="dxa"/>
          <w:trHeight w:val="405"/>
        </w:trPr>
        <w:tc>
          <w:tcPr>
            <w:tcW w:w="3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26C2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6C24" w:rsidRPr="00B26C24" w:rsidTr="00585A12">
        <w:trPr>
          <w:gridAfter w:val="5"/>
          <w:wAfter w:w="1986" w:type="dxa"/>
          <w:trHeight w:val="300"/>
        </w:trPr>
        <w:tc>
          <w:tcPr>
            <w:tcW w:w="9229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24"/>
              </w:rPr>
            </w:pPr>
            <w:r w:rsidRPr="00B26C24">
              <w:rPr>
                <w:rFonts w:ascii="方正大标宋简体" w:eastAsia="方正大标宋简体" w:hAnsi="宋体" w:cs="宋体" w:hint="eastAsia"/>
                <w:color w:val="000000"/>
                <w:kern w:val="0"/>
                <w:sz w:val="24"/>
              </w:rPr>
              <w:t>2023</w:t>
            </w:r>
            <w:r w:rsidRPr="00B26C24">
              <w:rPr>
                <w:rFonts w:ascii="宋体" w:hAnsi="宋体" w:cs="宋体" w:hint="eastAsia"/>
                <w:color w:val="000000"/>
                <w:kern w:val="0"/>
                <w:sz w:val="24"/>
              </w:rPr>
              <w:t>年度株洲市保障性住房服务中心整体支出绩效评价基础数据表</w:t>
            </w:r>
          </w:p>
        </w:tc>
      </w:tr>
      <w:tr w:rsidR="00B26C24" w:rsidRPr="00B26C24" w:rsidTr="00585A12">
        <w:trPr>
          <w:gridAfter w:val="5"/>
          <w:wAfter w:w="1986" w:type="dxa"/>
          <w:trHeight w:val="435"/>
        </w:trPr>
        <w:tc>
          <w:tcPr>
            <w:tcW w:w="2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财政供养人员情况（人）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2023年实际在职人数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控制率</w:t>
            </w:r>
          </w:p>
        </w:tc>
      </w:tr>
      <w:tr w:rsidR="00B26C24" w:rsidRPr="00B26C24" w:rsidTr="00585A12">
        <w:trPr>
          <w:gridAfter w:val="5"/>
          <w:wAfter w:w="1986" w:type="dxa"/>
          <w:trHeight w:val="450"/>
        </w:trPr>
        <w:tc>
          <w:tcPr>
            <w:tcW w:w="2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177.78%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经费控制情况（万元）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2022年决算数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2023年预算数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2023年决算数</w:t>
            </w:r>
          </w:p>
        </w:tc>
      </w:tr>
      <w:tr w:rsidR="00B26C24" w:rsidRPr="00B26C24" w:rsidTr="00585A12">
        <w:trPr>
          <w:gridAfter w:val="5"/>
          <w:wAfter w:w="1986" w:type="dxa"/>
          <w:trHeight w:val="51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46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585A12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B26C24"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1、公务用车购置和维护经费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51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51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51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585A12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B26C24"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2、出国经费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51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585A12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26C24"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3、公务接待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42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1894.22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1894.22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49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585A12">
            <w:pPr>
              <w:widowControl/>
              <w:ind w:firstLineChars="200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26C24" w:rsidRPr="00B26C24" w:rsidTr="00585A12">
        <w:trPr>
          <w:gridAfter w:val="5"/>
          <w:wAfter w:w="1986" w:type="dxa"/>
          <w:trHeight w:val="45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507.3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352.8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352.14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10.46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14.51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1.5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0.56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0.65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1149.18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1804.85</w:t>
            </w:r>
          </w:p>
        </w:tc>
        <w:tc>
          <w:tcPr>
            <w:tcW w:w="2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280.95</w:t>
            </w:r>
          </w:p>
        </w:tc>
      </w:tr>
      <w:tr w:rsidR="00B26C24" w:rsidRPr="00B26C24" w:rsidTr="00585A12">
        <w:trPr>
          <w:gridAfter w:val="5"/>
          <w:wAfter w:w="1986" w:type="dxa"/>
          <w:trHeight w:val="270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楼堂馆所控制情况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批复规模</w:t>
            </w:r>
          </w:p>
        </w:tc>
        <w:tc>
          <w:tcPr>
            <w:tcW w:w="81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实际规模（</w:t>
            </w:r>
            <w:r w:rsidRPr="00B26C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㎡</w:t>
            </w: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7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6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143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投资概算控制率</w:t>
            </w: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（2023年完工项目）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B26C2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㎡</w:t>
            </w: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26C24" w:rsidRPr="00B26C24" w:rsidTr="00585A12">
        <w:trPr>
          <w:gridAfter w:val="5"/>
          <w:wAfter w:w="1986" w:type="dxa"/>
          <w:trHeight w:val="28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C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6C24" w:rsidRPr="00B26C24" w:rsidTr="00585A12">
        <w:trPr>
          <w:gridAfter w:val="5"/>
          <w:wAfter w:w="1986" w:type="dxa"/>
          <w:trHeight w:val="735"/>
        </w:trPr>
        <w:tc>
          <w:tcPr>
            <w:tcW w:w="28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379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努力协调相关单位及部门间的关系，确保全年目标任务的完成的同时，加强财务预算的管理，尽量做到预算工作更加精准，节约每一笔开支。     </w:t>
            </w:r>
          </w:p>
        </w:tc>
      </w:tr>
      <w:tr w:rsidR="00B26C24" w:rsidRPr="00B26C24" w:rsidTr="00585A12">
        <w:trPr>
          <w:gridAfter w:val="5"/>
          <w:wAfter w:w="1986" w:type="dxa"/>
          <w:trHeight w:val="765"/>
        </w:trPr>
        <w:tc>
          <w:tcPr>
            <w:tcW w:w="9229" w:type="dxa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说明：“项目支出”需要填报基本支出以外的所有项目支出情况，“公用经费”填报基本支出中的一般商品和服务支出。</w:t>
            </w:r>
          </w:p>
        </w:tc>
      </w:tr>
      <w:tr w:rsidR="00B26C24" w:rsidRPr="00B26C24" w:rsidTr="00585A12">
        <w:trPr>
          <w:gridAfter w:val="2"/>
          <w:wAfter w:w="1277" w:type="dxa"/>
          <w:trHeight w:val="270"/>
        </w:trPr>
        <w:tc>
          <w:tcPr>
            <w:tcW w:w="84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26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填表人：肖宏    填报日期： 2024.4.15     联系电话：     单位负责人签字</w:t>
            </w:r>
            <w:r w:rsidR="00585A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C24" w:rsidRPr="00B26C24" w:rsidRDefault="00B26C24" w:rsidP="00B26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0779" w:rsidTr="00585A12">
        <w:trPr>
          <w:gridAfter w:val="6"/>
          <w:wAfter w:w="2167" w:type="dxa"/>
          <w:trHeight w:val="405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lastRenderedPageBreak/>
              <w:t>附件3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0779" w:rsidTr="00585A12">
        <w:trPr>
          <w:gridAfter w:val="6"/>
          <w:wAfter w:w="2167" w:type="dxa"/>
          <w:trHeight w:val="780"/>
        </w:trPr>
        <w:tc>
          <w:tcPr>
            <w:tcW w:w="9048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779" w:rsidRPr="0039769A" w:rsidRDefault="00E40779">
            <w:pPr>
              <w:jc w:val="center"/>
              <w:rPr>
                <w:rFonts w:ascii="方正大标宋简体" w:eastAsia="方正大标宋简体" w:hAnsi="宋体" w:cs="宋体"/>
                <w:color w:val="000000"/>
                <w:sz w:val="32"/>
                <w:szCs w:val="32"/>
              </w:rPr>
            </w:pPr>
            <w:r w:rsidRPr="0039769A">
              <w:rPr>
                <w:rFonts w:ascii="方正大标宋简体" w:eastAsia="方正大标宋简体" w:hint="eastAsia"/>
                <w:color w:val="000000"/>
                <w:sz w:val="32"/>
                <w:szCs w:val="32"/>
              </w:rPr>
              <w:t>2023</w:t>
            </w:r>
            <w:r w:rsidRPr="0039769A">
              <w:rPr>
                <w:rFonts w:ascii="宋体" w:hAnsi="宋体" w:cs="宋体" w:hint="eastAsia"/>
                <w:color w:val="000000"/>
                <w:sz w:val="32"/>
                <w:szCs w:val="32"/>
              </w:rPr>
              <w:t>年度株洲市保障性住房服务中心整体支出绩效自评表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3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市级预算部门（单位）名称</w:t>
            </w:r>
          </w:p>
        </w:tc>
        <w:tc>
          <w:tcPr>
            <w:tcW w:w="5651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株洲市保障性住房服务中心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年度预</w:t>
            </w:r>
          </w:p>
        </w:tc>
        <w:tc>
          <w:tcPr>
            <w:tcW w:w="26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得分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算申请</w:t>
            </w:r>
          </w:p>
        </w:tc>
        <w:tc>
          <w:tcPr>
            <w:tcW w:w="26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1068.21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3243.37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3243..37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按收入性质分：3243.37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按支出性质分：3243.37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其中：  一般公共预算：3243.37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其中：基本支出：3243.37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ind w:firstLineChars="400" w:firstLine="80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ind w:firstLineChars="300" w:firstLine="60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项目支出：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ind w:firstLineChars="700" w:firstLine="140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285"/>
        </w:trPr>
        <w:tc>
          <w:tcPr>
            <w:tcW w:w="7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7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55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E40779" w:rsidTr="00585A12">
        <w:trPr>
          <w:gridAfter w:val="6"/>
          <w:wAfter w:w="2167" w:type="dxa"/>
          <w:trHeight w:val="270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完成居民申报维修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处，质量达到合格以上</w:t>
            </w:r>
          </w:p>
        </w:tc>
        <w:tc>
          <w:tcPr>
            <w:tcW w:w="35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完成居民申报维修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处，质量达到合格以上</w:t>
            </w:r>
          </w:p>
        </w:tc>
      </w:tr>
      <w:tr w:rsidR="00E40779" w:rsidTr="00585A12">
        <w:trPr>
          <w:gridAfter w:val="6"/>
          <w:wAfter w:w="2167" w:type="dxa"/>
          <w:trHeight w:val="270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完成非税收入</w:t>
            </w:r>
            <w:r>
              <w:rPr>
                <w:rFonts w:hint="eastAsia"/>
                <w:sz w:val="20"/>
                <w:szCs w:val="20"/>
              </w:rPr>
              <w:t>560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35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完成非税收入</w:t>
            </w:r>
            <w:r>
              <w:rPr>
                <w:rFonts w:hint="eastAsia"/>
                <w:sz w:val="20"/>
                <w:szCs w:val="20"/>
              </w:rPr>
              <w:t>588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E40779" w:rsidTr="00585A12">
        <w:trPr>
          <w:gridAfter w:val="6"/>
          <w:wAfter w:w="2167" w:type="dxa"/>
          <w:trHeight w:val="435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及时排查安全隐患，确保安全生产</w:t>
            </w:r>
          </w:p>
        </w:tc>
        <w:tc>
          <w:tcPr>
            <w:tcW w:w="35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及时排查安全隐患，确保安全生产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产出指标（40分）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年收直管公房房屋租金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约</w:t>
            </w:r>
            <w:r>
              <w:rPr>
                <w:rFonts w:hint="eastAsia"/>
                <w:sz w:val="20"/>
                <w:szCs w:val="20"/>
              </w:rPr>
              <w:t>2.68</w:t>
            </w:r>
            <w:r>
              <w:rPr>
                <w:rFonts w:hint="eastAsia"/>
                <w:sz w:val="20"/>
                <w:szCs w:val="20"/>
              </w:rPr>
              <w:t>万平方米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约</w:t>
            </w:r>
            <w:r>
              <w:rPr>
                <w:rFonts w:hint="eastAsia"/>
                <w:sz w:val="20"/>
                <w:szCs w:val="20"/>
              </w:rPr>
              <w:t>2.68</w:t>
            </w:r>
            <w:r>
              <w:rPr>
                <w:rFonts w:hint="eastAsia"/>
                <w:sz w:val="20"/>
                <w:szCs w:val="20"/>
              </w:rPr>
              <w:t>万平方米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72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对直管公房屋面、厨房、卫生间防水维修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50</w:t>
            </w:r>
            <w:r>
              <w:rPr>
                <w:rFonts w:hint="eastAsia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56</w:t>
            </w:r>
            <w:r>
              <w:rPr>
                <w:rFonts w:hint="eastAsia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按期和提前完成收缴任务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≥560</w:t>
            </w:r>
            <w:r>
              <w:rPr>
                <w:rFonts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≥588</w:t>
            </w:r>
            <w:r>
              <w:rPr>
                <w:rFonts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还要提高收缴租金力度</w:t>
            </w:r>
          </w:p>
        </w:tc>
      </w:tr>
      <w:tr w:rsidR="00E40779" w:rsidTr="00585A12">
        <w:trPr>
          <w:gridAfter w:val="6"/>
          <w:wAfter w:w="2167" w:type="dxa"/>
          <w:trHeight w:val="465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消防安全检查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≥2256次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≥2256次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改善消防设施</w:t>
            </w:r>
          </w:p>
        </w:tc>
      </w:tr>
      <w:tr w:rsidR="00E40779" w:rsidTr="00585A12">
        <w:trPr>
          <w:gridAfter w:val="6"/>
          <w:wAfter w:w="2167" w:type="dxa"/>
          <w:trHeight w:val="45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对直管公房维修验</w:t>
            </w:r>
            <w:r>
              <w:rPr>
                <w:rFonts w:hint="eastAsia"/>
                <w:sz w:val="18"/>
                <w:szCs w:val="18"/>
              </w:rPr>
              <w:lastRenderedPageBreak/>
              <w:t>收合格率</w:t>
            </w:r>
          </w:p>
        </w:tc>
        <w:tc>
          <w:tcPr>
            <w:tcW w:w="10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98%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提高维修质量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年度计划申报完成时间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2023年12</w:t>
            </w:r>
            <w:r>
              <w:rPr>
                <w:rFonts w:hint="eastAsia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2023年12</w:t>
            </w:r>
            <w:r>
              <w:rPr>
                <w:rFonts w:hint="eastAsia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效益指标（20分）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超额完成非税收入任务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560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588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提高租金收缴率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长期提高住户舒适度、满意度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长期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72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加快住房维修进度，提升租户居住舒适度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改善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改善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确保国有资产保值增值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长期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72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满意度（10分）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社会公众及服务对象满意度指标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直管公房住户满意率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96%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让住户更满意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预算控制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节约成本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48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5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Default="00E4077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40779" w:rsidTr="00585A12">
        <w:trPr>
          <w:gridAfter w:val="6"/>
          <w:wAfter w:w="2167" w:type="dxa"/>
          <w:trHeight w:val="312"/>
        </w:trPr>
        <w:tc>
          <w:tcPr>
            <w:tcW w:w="9048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填表人：肖宏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填报日期：</w:t>
            </w:r>
            <w:r w:rsidR="00585A12">
              <w:rPr>
                <w:rFonts w:eastAsia="仿宋_GB2312"/>
                <w:color w:val="000000"/>
                <w:sz w:val="22"/>
                <w:szCs w:val="22"/>
              </w:rPr>
              <w:t xml:space="preserve"> 2024.4.9   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联系电话：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28227910  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单位负责人签字：</w:t>
            </w:r>
          </w:p>
        </w:tc>
      </w:tr>
      <w:tr w:rsidR="00E40779" w:rsidTr="00585A12">
        <w:trPr>
          <w:gridAfter w:val="6"/>
          <w:wAfter w:w="2167" w:type="dxa"/>
          <w:trHeight w:val="312"/>
        </w:trPr>
        <w:tc>
          <w:tcPr>
            <w:tcW w:w="904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779" w:rsidRDefault="00E40779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DB7635" w:rsidRPr="00DB7635" w:rsidTr="00585A12">
        <w:trPr>
          <w:trHeight w:val="810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D26" w:rsidRDefault="00400D26" w:rsidP="00DB763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E40779" w:rsidRDefault="00E40779" w:rsidP="00DB763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39769A" w:rsidRDefault="0039769A" w:rsidP="00DB763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DB7635" w:rsidRPr="00DB7635" w:rsidRDefault="0039769A" w:rsidP="00DB763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="00DB7635" w:rsidRPr="00DB763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DB763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-1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          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635" w:rsidRPr="00DB7635" w:rsidTr="00585A12">
        <w:trPr>
          <w:gridAfter w:val="5"/>
          <w:wAfter w:w="1986" w:type="dxa"/>
          <w:trHeight w:val="765"/>
        </w:trPr>
        <w:tc>
          <w:tcPr>
            <w:tcW w:w="92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36"/>
                <w:szCs w:val="36"/>
              </w:rPr>
            </w:pPr>
            <w:r w:rsidRPr="00DB7635">
              <w:rPr>
                <w:rFonts w:ascii="方正大标宋简体" w:eastAsia="方正大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2023</w:t>
            </w:r>
            <w:r w:rsidRPr="00DB7635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年度株洲市保障性住房服务中心项目支出绩效自评表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项目支</w:t>
            </w:r>
          </w:p>
        </w:tc>
        <w:tc>
          <w:tcPr>
            <w:tcW w:w="844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39769A" w:rsidP="003976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保障性住房维护管理费用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449" w:type="dxa"/>
            <w:gridSpan w:val="3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7635" w:rsidRPr="00DB7635" w:rsidTr="00585A12">
        <w:trPr>
          <w:gridAfter w:val="5"/>
          <w:wAfter w:w="1986" w:type="dxa"/>
          <w:trHeight w:val="52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51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株洲市保障性住房服务中心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9A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实施</w:t>
            </w:r>
          </w:p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3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株洲市保障性住房服务中心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项目资金</w:t>
            </w:r>
          </w:p>
        </w:tc>
        <w:tc>
          <w:tcPr>
            <w:tcW w:w="2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年初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11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11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7635" w:rsidRPr="00DB7635" w:rsidTr="00585A12">
        <w:trPr>
          <w:gridAfter w:val="5"/>
          <w:wAfter w:w="1986" w:type="dxa"/>
          <w:trHeight w:val="28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89%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B7635" w:rsidRPr="00DB7635" w:rsidTr="00585A12">
        <w:trPr>
          <w:gridAfter w:val="5"/>
          <w:wAfter w:w="1986" w:type="dxa"/>
          <w:trHeight w:val="28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ind w:firstLineChars="3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上年结转资金　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28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ind w:firstLineChars="3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28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年度资金总额　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89%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B7635" w:rsidRPr="00DB7635" w:rsidTr="00585A12">
        <w:trPr>
          <w:gridAfter w:val="5"/>
          <w:wAfter w:w="1986" w:type="dxa"/>
          <w:trHeight w:val="285"/>
        </w:trPr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1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实际完成情况　</w:t>
            </w:r>
          </w:p>
        </w:tc>
      </w:tr>
      <w:tr w:rsidR="00DB7635" w:rsidRPr="00DB7635" w:rsidTr="00585A12">
        <w:trPr>
          <w:gridAfter w:val="5"/>
          <w:wAfter w:w="1986" w:type="dxa"/>
          <w:trHeight w:val="129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kern w:val="0"/>
                <w:sz w:val="18"/>
                <w:szCs w:val="18"/>
              </w:rPr>
              <w:t>加强保障性住房的后续运营服务，为保障家庭提供专业的物业服务，细致的房政服务，人性化的帮扶服务，增加保障家庭的获得感、幸福感、安全感。通过实施本项目，到2023年底，小区居民接受服务率达到95%。</w:t>
            </w:r>
          </w:p>
        </w:tc>
        <w:tc>
          <w:tcPr>
            <w:tcW w:w="33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kern w:val="0"/>
                <w:sz w:val="18"/>
                <w:szCs w:val="18"/>
              </w:rPr>
              <w:t>为保障家庭提供专业的物业服务，细致的房政服务，人性化的帮扶服务，增加保障家庭的获得感、幸福感、安全感。通过实施本项目，到2023年底，小区居民接受服务率达到96%。</w:t>
            </w:r>
          </w:p>
        </w:tc>
      </w:tr>
      <w:tr w:rsidR="00DB7635" w:rsidRPr="00DB7635" w:rsidTr="00585A12">
        <w:trPr>
          <w:gridAfter w:val="5"/>
          <w:wAfter w:w="1986" w:type="dxa"/>
          <w:trHeight w:val="435"/>
        </w:trPr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绩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效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指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3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7635" w:rsidRPr="00DB7635" w:rsidTr="00585A12">
        <w:trPr>
          <w:gridAfter w:val="5"/>
          <w:wAfter w:w="1986" w:type="dxa"/>
          <w:trHeight w:val="315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产出指标(40分)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维修小区数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7个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7个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维修次数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≥350次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≥350次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廉租房住户数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≥6601户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≥6601户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加强巡查，维护安全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软件系统故障率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≤1%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≤1%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2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维修验收合格率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98%1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软件系统修复响应时间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≤4小时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≤3小时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软件服务要加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强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维修费支时间付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验收合格即支付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验收合格即支付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效益指标(20分 )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69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低收入人群获得感、幸福感、安全感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提升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提升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让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住户有幸福感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63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满意度指标（10分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小区住户满意度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≥90%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kern w:val="0"/>
                <w:sz w:val="20"/>
                <w:szCs w:val="20"/>
              </w:rPr>
              <w:t>≥91%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让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住户更满意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成本指标（20分）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成本控制数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981.22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80"/>
        </w:trPr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49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B7635" w:rsidRPr="00DB7635" w:rsidTr="00585A12">
        <w:trPr>
          <w:gridAfter w:val="5"/>
          <w:wAfter w:w="1986" w:type="dxa"/>
          <w:trHeight w:val="510"/>
        </w:trPr>
        <w:tc>
          <w:tcPr>
            <w:tcW w:w="92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备注：一个一级项目支出一张表。</w:t>
            </w:r>
          </w:p>
        </w:tc>
      </w:tr>
      <w:tr w:rsidR="00DB7635" w:rsidRPr="00DB7635" w:rsidTr="00585A12">
        <w:trPr>
          <w:gridAfter w:val="5"/>
          <w:wAfter w:w="1986" w:type="dxa"/>
          <w:trHeight w:val="270"/>
        </w:trPr>
        <w:tc>
          <w:tcPr>
            <w:tcW w:w="92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35" w:rsidRPr="00DB7635" w:rsidRDefault="00DB7635" w:rsidP="00DB763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填表人：</w:t>
            </w:r>
            <w:r w:rsidRPr="00DB7635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肖宏</w:t>
            </w:r>
            <w:r w:rsidR="0039769A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填报日期：</w:t>
            </w:r>
            <w:r w:rsidRPr="00DB7635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2023.4.20  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  <w:r w:rsidRPr="00DB7635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28227910  </w:t>
            </w:r>
            <w:r w:rsidRPr="00DB76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单位负责人签字：</w:t>
            </w:r>
          </w:p>
        </w:tc>
      </w:tr>
    </w:tbl>
    <w:p w:rsidR="00803464" w:rsidRDefault="00803464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p w:rsidR="00DB7635" w:rsidRDefault="00DB7635"/>
    <w:tbl>
      <w:tblPr>
        <w:tblW w:w="10540" w:type="dxa"/>
        <w:tblInd w:w="93" w:type="dxa"/>
        <w:tblLook w:val="04A0"/>
      </w:tblPr>
      <w:tblGrid>
        <w:gridCol w:w="700"/>
        <w:gridCol w:w="1080"/>
        <w:gridCol w:w="220"/>
        <w:gridCol w:w="1020"/>
        <w:gridCol w:w="60"/>
        <w:gridCol w:w="1020"/>
        <w:gridCol w:w="220"/>
        <w:gridCol w:w="960"/>
        <w:gridCol w:w="120"/>
        <w:gridCol w:w="900"/>
        <w:gridCol w:w="280"/>
        <w:gridCol w:w="600"/>
        <w:gridCol w:w="420"/>
        <w:gridCol w:w="520"/>
        <w:gridCol w:w="360"/>
        <w:gridCol w:w="760"/>
        <w:gridCol w:w="180"/>
        <w:gridCol w:w="1120"/>
      </w:tblGrid>
      <w:tr w:rsidR="00E40779" w:rsidRPr="00E40779" w:rsidTr="0039769A">
        <w:trPr>
          <w:trHeight w:val="81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 w:after="100" w:afterAutospacing="1"/>
              <w:ind w:rightChars="-602" w:right="-1264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4077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附件4-2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ind w:rightChars="-602" w:right="-1264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39769A">
            <w:pPr>
              <w:widowControl/>
              <w:spacing w:before="100" w:beforeAutospacing="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0779" w:rsidRPr="00E40779" w:rsidTr="0039769A">
        <w:trPr>
          <w:gridAfter w:val="2"/>
          <w:wAfter w:w="1300" w:type="dxa"/>
          <w:trHeight w:val="765"/>
        </w:trPr>
        <w:tc>
          <w:tcPr>
            <w:tcW w:w="924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779" w:rsidRPr="0039769A" w:rsidRDefault="00E40779" w:rsidP="0039769A">
            <w:pPr>
              <w:widowControl/>
              <w:spacing w:before="100" w:beforeAutospacing="1"/>
              <w:rPr>
                <w:rFonts w:ascii="方正大标宋简体" w:eastAsia="方正大标宋简体" w:hAnsi="宋体" w:cs="宋体"/>
                <w:color w:val="000000"/>
                <w:kern w:val="0"/>
                <w:sz w:val="32"/>
                <w:szCs w:val="32"/>
              </w:rPr>
            </w:pPr>
            <w:r w:rsidRPr="0039769A">
              <w:rPr>
                <w:rFonts w:ascii="方正大标宋简体" w:eastAsia="方正大标宋简体" w:hAnsi="宋体" w:cs="宋体" w:hint="eastAsia"/>
                <w:color w:val="000000"/>
                <w:kern w:val="0"/>
                <w:sz w:val="32"/>
                <w:szCs w:val="32"/>
              </w:rPr>
              <w:t>2023</w:t>
            </w:r>
            <w:r w:rsidRPr="0039769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年度株洲市保障性住房服务中心项目支出绩效自评表</w:t>
            </w:r>
          </w:p>
        </w:tc>
      </w:tr>
      <w:tr w:rsidR="00E40779" w:rsidRPr="00E40779" w:rsidTr="0039769A">
        <w:trPr>
          <w:gridAfter w:val="2"/>
          <w:wAfter w:w="1300" w:type="dxa"/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项目支</w:t>
            </w:r>
          </w:p>
        </w:tc>
        <w:tc>
          <w:tcPr>
            <w:tcW w:w="854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8369FE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人才购房补贴</w:t>
            </w:r>
          </w:p>
        </w:tc>
      </w:tr>
      <w:tr w:rsidR="00E40779" w:rsidRPr="00E40779" w:rsidTr="0039769A">
        <w:trPr>
          <w:gridAfter w:val="2"/>
          <w:wAfter w:w="1300" w:type="dxa"/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540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0779" w:rsidRPr="00E40779" w:rsidTr="0039769A">
        <w:trPr>
          <w:gridAfter w:val="2"/>
          <w:wAfter w:w="1300" w:type="dxa"/>
          <w:trHeight w:val="4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株洲市逐渐和城乡建设局机关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株洲市保障性住房服务中心</w:t>
            </w:r>
          </w:p>
        </w:tc>
      </w:tr>
      <w:tr w:rsidR="00E40779" w:rsidRPr="00E40779" w:rsidTr="0039769A">
        <w:trPr>
          <w:gridAfter w:val="2"/>
          <w:wAfter w:w="1300" w:type="dxa"/>
          <w:trHeight w:val="45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年初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E40779" w:rsidRPr="00E40779" w:rsidTr="0039769A">
        <w:trPr>
          <w:gridAfter w:val="2"/>
          <w:wAfter w:w="1300" w:type="dxa"/>
          <w:trHeight w:val="2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0779" w:rsidRPr="00E40779" w:rsidTr="0039769A">
        <w:trPr>
          <w:gridAfter w:val="2"/>
          <w:wAfter w:w="1300" w:type="dxa"/>
          <w:trHeight w:val="2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1000万元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913万元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913万元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2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ind w:firstLineChars="3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上年结转资金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2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ind w:firstLineChars="30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6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年度资金总额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1000万元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913万元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913万元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40779" w:rsidRPr="00E40779" w:rsidTr="0039769A">
        <w:trPr>
          <w:gridAfter w:val="2"/>
          <w:wAfter w:w="1300" w:type="dxa"/>
          <w:trHeight w:val="49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实际完成情况　</w:t>
            </w:r>
          </w:p>
        </w:tc>
      </w:tr>
      <w:tr w:rsidR="00E40779" w:rsidRPr="00E40779" w:rsidTr="0039769A">
        <w:trPr>
          <w:gridAfter w:val="2"/>
          <w:wAfter w:w="1300" w:type="dxa"/>
          <w:trHeight w:val="7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确保人才购房补贴资金发放到位</w:t>
            </w:r>
          </w:p>
        </w:tc>
        <w:tc>
          <w:tcPr>
            <w:tcW w:w="39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确保人才购房补贴资金发放到位完成358户，913万元</w:t>
            </w:r>
          </w:p>
        </w:tc>
      </w:tr>
      <w:tr w:rsidR="00E40779" w:rsidRPr="00E40779" w:rsidTr="0039769A">
        <w:trPr>
          <w:gridAfter w:val="2"/>
          <w:wAfter w:w="1300" w:type="dxa"/>
          <w:trHeight w:val="43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绩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:rsidR="00E40779" w:rsidRPr="00E40779" w:rsidTr="0039769A">
        <w:trPr>
          <w:gridAfter w:val="2"/>
          <w:wAfter w:w="1300" w:type="dxa"/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效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0779" w:rsidRPr="00E40779" w:rsidTr="0039769A">
        <w:trPr>
          <w:gridAfter w:val="2"/>
          <w:wAfter w:w="1300" w:type="dxa"/>
          <w:trHeight w:val="45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产出指标(40分)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补贴户数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≥360人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≥360人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更多引进人才</w:t>
            </w:r>
          </w:p>
        </w:tc>
      </w:tr>
      <w:tr w:rsidR="00E40779" w:rsidRPr="00E40779" w:rsidTr="0039769A">
        <w:trPr>
          <w:gridAfter w:val="2"/>
          <w:wAfter w:w="1300" w:type="dxa"/>
          <w:trHeight w:val="45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补贴发放完成率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3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补贴覆盖率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拨付时间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9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效益指标（20分）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促进人才落户株洲工作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≥360人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≥358人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更多引进人才</w:t>
            </w:r>
          </w:p>
        </w:tc>
      </w:tr>
      <w:tr w:rsidR="00E40779" w:rsidRPr="00E40779" w:rsidTr="0039769A">
        <w:trPr>
          <w:gridAfter w:val="2"/>
          <w:wAfter w:w="1300" w:type="dxa"/>
          <w:trHeight w:val="49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可持续影响指标指标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满意度指标（10分）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满意率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9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成本指标（20分）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成本补贴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1000万元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913万元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3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0779" w:rsidRPr="00E40779" w:rsidTr="0039769A">
        <w:trPr>
          <w:gridAfter w:val="2"/>
          <w:wAfter w:w="1300" w:type="dxa"/>
          <w:trHeight w:val="390"/>
        </w:trPr>
        <w:tc>
          <w:tcPr>
            <w:tcW w:w="9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79" w:rsidRPr="00E40779" w:rsidRDefault="00E40779" w:rsidP="00E4077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备注：一个一级项目支出一张表。</w:t>
            </w:r>
          </w:p>
        </w:tc>
      </w:tr>
      <w:tr w:rsidR="00E40779" w:rsidRPr="00E40779" w:rsidTr="0039769A">
        <w:trPr>
          <w:gridAfter w:val="2"/>
          <w:wAfter w:w="1300" w:type="dxa"/>
          <w:trHeight w:val="450"/>
        </w:trPr>
        <w:tc>
          <w:tcPr>
            <w:tcW w:w="9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779" w:rsidRPr="00E40779" w:rsidRDefault="00E40779" w:rsidP="00E4077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填表人：</w:t>
            </w:r>
            <w:r w:rsidRPr="00E40779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肖宏</w:t>
            </w:r>
            <w:r w:rsidRPr="00E40779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</w:t>
            </w: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填报日期：</w:t>
            </w:r>
            <w:r w:rsidRPr="00E40779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2023.4.20     </w:t>
            </w: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  <w:r w:rsidR="0039769A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28227910  </w:t>
            </w:r>
            <w:r w:rsidRPr="00E40779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E4077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单位负责人签字：</w:t>
            </w:r>
          </w:p>
        </w:tc>
      </w:tr>
    </w:tbl>
    <w:p w:rsidR="00E40779" w:rsidRDefault="00E40779"/>
    <w:sectPr w:rsidR="00E40779" w:rsidSect="0065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53" w:rsidRDefault="00B86E53" w:rsidP="00406DB9">
      <w:r>
        <w:separator/>
      </w:r>
    </w:p>
  </w:endnote>
  <w:endnote w:type="continuationSeparator" w:id="0">
    <w:p w:rsidR="00B86E53" w:rsidRDefault="00B86E53" w:rsidP="0040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53" w:rsidRDefault="00B86E53" w:rsidP="00406DB9">
      <w:r>
        <w:separator/>
      </w:r>
    </w:p>
  </w:footnote>
  <w:footnote w:type="continuationSeparator" w:id="0">
    <w:p w:rsidR="00B86E53" w:rsidRDefault="00B86E53" w:rsidP="00406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B2B"/>
    <w:rsid w:val="00017CE1"/>
    <w:rsid w:val="0028207B"/>
    <w:rsid w:val="0039769A"/>
    <w:rsid w:val="003A0DFE"/>
    <w:rsid w:val="003E4304"/>
    <w:rsid w:val="00400D26"/>
    <w:rsid w:val="00406DB9"/>
    <w:rsid w:val="004719BB"/>
    <w:rsid w:val="00585A12"/>
    <w:rsid w:val="0065485D"/>
    <w:rsid w:val="007439FB"/>
    <w:rsid w:val="0079152A"/>
    <w:rsid w:val="007A361F"/>
    <w:rsid w:val="007E6B2B"/>
    <w:rsid w:val="00803464"/>
    <w:rsid w:val="00803E08"/>
    <w:rsid w:val="008369FE"/>
    <w:rsid w:val="00A937B2"/>
    <w:rsid w:val="00B26C24"/>
    <w:rsid w:val="00B85FA1"/>
    <w:rsid w:val="00B86E53"/>
    <w:rsid w:val="00C2792D"/>
    <w:rsid w:val="00CB1492"/>
    <w:rsid w:val="00D30A88"/>
    <w:rsid w:val="00D56C9C"/>
    <w:rsid w:val="00DB7635"/>
    <w:rsid w:val="00DE778F"/>
    <w:rsid w:val="00E3618E"/>
    <w:rsid w:val="00E40779"/>
    <w:rsid w:val="00EA6317"/>
    <w:rsid w:val="00EB2884"/>
    <w:rsid w:val="00F9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361F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表格内容 Char"/>
    <w:link w:val="a4"/>
    <w:locked/>
    <w:rsid w:val="007A361F"/>
    <w:rPr>
      <w:kern w:val="1"/>
      <w:sz w:val="24"/>
      <w:lang w:eastAsia="ar-SA"/>
    </w:rPr>
  </w:style>
  <w:style w:type="paragraph" w:customStyle="1" w:styleId="a4">
    <w:name w:val="表格内容"/>
    <w:basedOn w:val="a"/>
    <w:link w:val="Char"/>
    <w:rsid w:val="007A361F"/>
    <w:pPr>
      <w:suppressLineNumbers/>
      <w:suppressAutoHyphens/>
      <w:ind w:left="482" w:hanging="482"/>
    </w:pPr>
    <w:rPr>
      <w:rFonts w:asciiTheme="minorHAnsi" w:eastAsiaTheme="minorEastAsia" w:hAnsiTheme="minorHAnsi" w:cstheme="minorBidi"/>
      <w:kern w:val="1"/>
      <w:sz w:val="24"/>
      <w:szCs w:val="22"/>
      <w:lang w:eastAsia="ar-SA"/>
    </w:rPr>
  </w:style>
  <w:style w:type="paragraph" w:styleId="a5">
    <w:name w:val="header"/>
    <w:basedOn w:val="a"/>
    <w:link w:val="Char0"/>
    <w:uiPriority w:val="99"/>
    <w:semiHidden/>
    <w:unhideWhenUsed/>
    <w:rsid w:val="0040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6D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06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06D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zjc</cp:lastModifiedBy>
  <cp:revision>4</cp:revision>
  <cp:lastPrinted>2024-04-18T02:39:00Z</cp:lastPrinted>
  <dcterms:created xsi:type="dcterms:W3CDTF">2024-04-18T08:24:00Z</dcterms:created>
  <dcterms:modified xsi:type="dcterms:W3CDTF">2024-04-18T08:34:00Z</dcterms:modified>
</cp:coreProperties>
</file>