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_GB2312"/>
          <w:sz w:val="32"/>
          <w:szCs w:val="32"/>
          <w:lang w:val="en-US" w:eastAsia="zh-CN"/>
        </w:rPr>
      </w:pPr>
      <w:r>
        <w:rPr>
          <w:rFonts w:hint="eastAsia" w:ascii="仿宋" w:hAnsi="仿宋" w:eastAsia="仿宋" w:cs="仿宋_GB2312"/>
          <w:sz w:val="32"/>
          <w:szCs w:val="32"/>
          <w:lang w:eastAsia="zh-CN"/>
        </w:rPr>
        <w:t>附件</w:t>
      </w:r>
      <w:r>
        <w:rPr>
          <w:rFonts w:hint="eastAsia" w:ascii="仿宋" w:hAnsi="仿宋" w:eastAsia="仿宋" w:cs="仿宋_GB2312"/>
          <w:sz w:val="32"/>
          <w:szCs w:val="32"/>
          <w:lang w:val="en-US" w:eastAsia="zh-CN"/>
        </w:rPr>
        <w:t>1</w:t>
      </w:r>
    </w:p>
    <w:p>
      <w:pPr>
        <w:spacing w:line="560" w:lineRule="exact"/>
        <w:jc w:val="center"/>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关于进一步加强科技统计工作的通知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_GB2312"/>
          <w:sz w:val="32"/>
          <w:szCs w:val="32"/>
        </w:rPr>
      </w:pPr>
      <w:r>
        <w:rPr>
          <w:rFonts w:hint="eastAsia" w:ascii="方正小标宋简体" w:hAnsi="方正小标宋简体" w:eastAsia="方正小标宋简体" w:cs="方正小标宋简体"/>
          <w:sz w:val="44"/>
          <w:szCs w:val="44"/>
          <w:lang w:eastAsia="zh-CN"/>
        </w:rPr>
        <w:t>（修订稿）</w:t>
      </w:r>
      <w:bookmarkEnd w:id="0"/>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_GB2312"/>
          <w:sz w:val="32"/>
          <w:szCs w:val="32"/>
        </w:rPr>
      </w:pPr>
      <w:r>
        <w:rPr>
          <w:rFonts w:hint="eastAsia" w:ascii="仿宋" w:hAnsi="仿宋" w:eastAsia="仿宋" w:cs="仿宋_GB2312"/>
          <w:sz w:val="32"/>
          <w:szCs w:val="32"/>
        </w:rPr>
        <w:t>各有关单位：</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_GB2312"/>
          <w:sz w:val="32"/>
          <w:szCs w:val="32"/>
        </w:rPr>
      </w:pPr>
      <w:r>
        <w:rPr>
          <w:rFonts w:hint="eastAsia" w:ascii="仿宋" w:hAnsi="仿宋" w:eastAsia="仿宋" w:cs="仿宋_GB2312"/>
          <w:sz w:val="32"/>
          <w:szCs w:val="32"/>
        </w:rPr>
        <w:t>根据《中华人民共和国统计法》以及《湖南省“十四五”加大全社会研发经费投入行动计划》（湘政办发〔2022〕13号）、《株洲市促进科技成果转化实施办法》（株政办发〔2020〕2号）文件精神，为进一步做好科技统计工作，夯实统计基础，提高数据质量。现将有关事项通知如下：</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_GB2312"/>
          <w:sz w:val="32"/>
          <w:szCs w:val="32"/>
        </w:rPr>
      </w:pPr>
      <w:r>
        <w:rPr>
          <w:rFonts w:hint="eastAsia" w:ascii="黑体" w:hAnsi="黑体" w:eastAsia="黑体" w:cs="仿宋_GB2312"/>
          <w:sz w:val="32"/>
          <w:szCs w:val="32"/>
        </w:rPr>
        <w:t>一、依法设岗</w:t>
      </w:r>
      <w:r>
        <w:rPr>
          <w:rFonts w:hint="eastAsia" w:ascii="仿宋" w:hAnsi="仿宋" w:eastAsia="仿宋" w:cs="仿宋_GB2312"/>
          <w:sz w:val="32"/>
          <w:szCs w:val="32"/>
        </w:rPr>
        <w:t>。按照要求，各经济主体单位、高等院校和市级以上研发机构都必须设立科技统计岗位，明确分管科技统计工作的领导，并安排相对稳定的工作人员负责科技统计工作。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黑体" w:hAnsi="黑体" w:eastAsia="黑体" w:cs="仿宋_GB2312"/>
          <w:sz w:val="32"/>
          <w:szCs w:val="32"/>
        </w:rPr>
        <w:t>二、切实履职</w:t>
      </w:r>
      <w:r>
        <w:rPr>
          <w:rFonts w:hint="eastAsia" w:ascii="仿宋" w:hAnsi="仿宋" w:eastAsia="仿宋" w:cs="仿宋_GB2312"/>
          <w:sz w:val="32"/>
          <w:szCs w:val="32"/>
        </w:rPr>
        <w:t>。各单位负责科技统计的人员应加强学习，认真负责完成研发、创新、高新技术产业等科技统计相关工作。各联网直报单位要按照研发活动立项、备案、财务列支等流程做好归集，按照国家统计方法制度相关规定，按时按质完成以上科技统计相关报表，并逐季（年）在统计联网直报平台上的《财务状况》季（年）报表中，按年度研发经费的指标口径如实填报“技术（研究）开发费”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黑体" w:hAnsi="黑体" w:eastAsia="黑体" w:cs="仿宋_GB2312"/>
          <w:sz w:val="32"/>
          <w:szCs w:val="32"/>
        </w:rPr>
        <w:t>三、加强检查</w:t>
      </w:r>
      <w:r>
        <w:rPr>
          <w:rFonts w:hint="eastAsia" w:ascii="仿宋" w:hAnsi="仿宋" w:eastAsia="仿宋" w:cs="仿宋_GB2312"/>
          <w:sz w:val="32"/>
          <w:szCs w:val="32"/>
        </w:rPr>
        <w:t>。企业研发、创新、高新数据质量将是今后统计执法的重点。规模以上工业、特一级建筑业、大中型服务业、卫生和社会工作等企业法人单位，高校、科研院所、医院等事业法人单位是科技统计执法的重点。市县科技和统计部门将对以上单位数据质量进行核查和通报，规模以上高新技术企业和科技型中小企业入统情况将作为年度考评和资格复核的重要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trike/>
          <w:sz w:val="32"/>
          <w:szCs w:val="32"/>
        </w:rPr>
      </w:pPr>
      <w:r>
        <w:rPr>
          <w:rFonts w:hint="eastAsia" w:ascii="黑体" w:hAnsi="黑体" w:eastAsia="黑体" w:cs="仿宋_GB2312"/>
          <w:sz w:val="32"/>
          <w:szCs w:val="32"/>
        </w:rPr>
        <w:t>四、提供保障</w:t>
      </w:r>
      <w:r>
        <w:rPr>
          <w:rFonts w:hint="eastAsia" w:ascii="仿宋" w:hAnsi="仿宋" w:eastAsia="仿宋" w:cs="仿宋_GB2312"/>
          <w:sz w:val="32"/>
          <w:szCs w:val="32"/>
        </w:rPr>
        <w:t>。各单位要为科技统计工作提供相应的统计工作经费和设备，为完成科技统计工作提供必要保障。根据省、市加大全社会研发投入文件精神，市科技局、财政局安排专项资金，对上年度研发经费归集统计工作较好的企业按照研发投入规模给予补助，</w:t>
      </w:r>
      <w:r>
        <w:rPr>
          <w:rFonts w:hint="eastAsia" w:ascii="仿宋" w:hAnsi="仿宋" w:eastAsia="仿宋" w:cs="仿宋_GB2312"/>
          <w:sz w:val="32"/>
          <w:szCs w:val="32"/>
          <w:lang w:val="en-US" w:eastAsia="zh-CN"/>
        </w:rPr>
        <w:t>补助标准根据当年预算进行确定，</w:t>
      </w:r>
      <w:r>
        <w:rPr>
          <w:rFonts w:hint="eastAsia" w:ascii="仿宋" w:hAnsi="仿宋" w:eastAsia="仿宋" w:cs="仿宋_GB2312"/>
          <w:sz w:val="32"/>
          <w:szCs w:val="32"/>
        </w:rPr>
        <w:t>主要用于</w:t>
      </w:r>
      <w:r>
        <w:rPr>
          <w:rFonts w:hint="eastAsia" w:ascii="仿宋" w:hAnsi="仿宋" w:eastAsia="仿宋" w:cs="仿宋_GB2312"/>
          <w:sz w:val="32"/>
          <w:szCs w:val="32"/>
          <w:lang w:eastAsia="zh-CN"/>
        </w:rPr>
        <w:t>企业</w:t>
      </w:r>
      <w:r>
        <w:rPr>
          <w:rFonts w:hint="eastAsia" w:ascii="仿宋" w:hAnsi="仿宋" w:eastAsia="仿宋" w:cs="仿宋_GB2312"/>
          <w:sz w:val="32"/>
          <w:szCs w:val="32"/>
        </w:rPr>
        <w:t>科技管理、财务、统计岗位人员的工作补助，以推进和促进科技统计工作顺利开展。</w:t>
      </w:r>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_GB2312"/>
          <w:sz w:val="32"/>
          <w:szCs w:val="32"/>
        </w:rPr>
      </w:pPr>
    </w:p>
    <w:p>
      <w:pPr>
        <w:pStyle w:val="7"/>
        <w:keepNext w:val="0"/>
        <w:keepLines w:val="0"/>
        <w:pageBreakBefore w:val="0"/>
        <w:kinsoku/>
        <w:wordWrap/>
        <w:overflowPunct/>
        <w:topLinePunct w:val="0"/>
        <w:autoSpaceDE/>
        <w:autoSpaceDN/>
        <w:bidi w:val="0"/>
        <w:adjustRightInd/>
        <w:snapToGrid/>
        <w:spacing w:line="560" w:lineRule="exact"/>
        <w:textAlignment w:val="auto"/>
      </w:pPr>
    </w:p>
    <w:p>
      <w:pPr>
        <w:pStyle w:val="7"/>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_GB2312"/>
          <w:sz w:val="32"/>
          <w:szCs w:val="32"/>
        </w:rPr>
      </w:pPr>
      <w:r>
        <w:rPr>
          <w:rFonts w:hint="eastAsia" w:ascii="仿宋" w:hAnsi="仿宋" w:eastAsia="仿宋" w:cs="仿宋_GB2312"/>
          <w:sz w:val="32"/>
          <w:szCs w:val="32"/>
        </w:rPr>
        <w:t xml:space="preserve">株洲市科学技术局           </w:t>
      </w:r>
      <w:r>
        <w:rPr>
          <w:rFonts w:ascii="仿宋" w:hAnsi="仿宋" w:eastAsia="仿宋" w:cs="仿宋_GB2312"/>
          <w:sz w:val="32"/>
          <w:szCs w:val="32"/>
        </w:rPr>
        <w:t xml:space="preserve">         </w:t>
      </w:r>
      <w:r>
        <w:rPr>
          <w:rFonts w:hint="eastAsia" w:ascii="仿宋" w:hAnsi="仿宋" w:eastAsia="仿宋" w:cs="仿宋_GB2312"/>
          <w:sz w:val="32"/>
          <w:szCs w:val="32"/>
        </w:rPr>
        <w:t>株洲市统计局</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lang w:val="en" w:eastAsia="zh-CN"/>
        </w:rPr>
      </w:pPr>
      <w:r>
        <w:rPr>
          <w:rFonts w:ascii="仿宋" w:hAnsi="仿宋" w:eastAsia="仿宋" w:cs="仿宋_GB2312"/>
          <w:sz w:val="32"/>
          <w:szCs w:val="32"/>
        </w:rPr>
        <w:t>2</w:t>
      </w:r>
      <w:r>
        <w:rPr>
          <w:rFonts w:hint="eastAsia" w:ascii="仿宋" w:hAnsi="仿宋" w:eastAsia="仿宋" w:cs="仿宋_GB2312"/>
          <w:sz w:val="32"/>
          <w:szCs w:val="32"/>
        </w:rPr>
        <w:t>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YjlkZTc4ZmUxYjE2MmFkNjhmNDA1MDk2MjIyNTMifQ=="/>
  </w:docVars>
  <w:rsids>
    <w:rsidRoot w:val="397F002B"/>
    <w:rsid w:val="01066723"/>
    <w:rsid w:val="16816BC3"/>
    <w:rsid w:val="236D0FD0"/>
    <w:rsid w:val="37710FF7"/>
    <w:rsid w:val="397F002B"/>
    <w:rsid w:val="3C0D0B4A"/>
    <w:rsid w:val="3D2B38FA"/>
    <w:rsid w:val="3EE87B72"/>
    <w:rsid w:val="42A163B6"/>
    <w:rsid w:val="46B729A3"/>
    <w:rsid w:val="48E76A7C"/>
    <w:rsid w:val="4A064D70"/>
    <w:rsid w:val="4C2B59A2"/>
    <w:rsid w:val="4DA35DAA"/>
    <w:rsid w:val="522F68D9"/>
    <w:rsid w:val="5476494D"/>
    <w:rsid w:val="597C5CCB"/>
    <w:rsid w:val="63F2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60" w:lineRule="exact"/>
      <w:ind w:firstLine="0" w:firstLineChars="0"/>
      <w:jc w:val="center"/>
      <w:outlineLvl w:val="0"/>
    </w:pPr>
    <w:rPr>
      <w:rFonts w:eastAsia="方正小标宋简体"/>
      <w:kern w:val="44"/>
      <w:sz w:val="44"/>
      <w:szCs w:val="32"/>
    </w:rPr>
  </w:style>
  <w:style w:type="paragraph" w:styleId="4">
    <w:name w:val="heading 2"/>
    <w:basedOn w:val="1"/>
    <w:next w:val="1"/>
    <w:link w:val="11"/>
    <w:semiHidden/>
    <w:unhideWhenUsed/>
    <w:qFormat/>
    <w:uiPriority w:val="0"/>
    <w:pPr>
      <w:keepNext/>
      <w:keepLines/>
      <w:spacing w:before="20" w:beforeLines="0" w:beforeAutospacing="0" w:after="20" w:afterLines="0" w:afterAutospacing="0" w:line="413" w:lineRule="auto"/>
      <w:outlineLvl w:val="1"/>
    </w:pPr>
    <w:rPr>
      <w:rFonts w:eastAsia="黑体"/>
    </w:rPr>
  </w:style>
  <w:style w:type="paragraph" w:styleId="5">
    <w:name w:val="heading 3"/>
    <w:basedOn w:val="1"/>
    <w:next w:val="1"/>
    <w:link w:val="12"/>
    <w:semiHidden/>
    <w:unhideWhenUsed/>
    <w:qFormat/>
    <w:uiPriority w:val="0"/>
    <w:pPr>
      <w:keepNext/>
      <w:keepLines/>
      <w:spacing w:before="120" w:beforeLines="0" w:beforeAutospacing="0" w:after="120" w:afterLines="0" w:afterAutospacing="0" w:line="413" w:lineRule="auto"/>
      <w:outlineLvl w:val="2"/>
    </w:pPr>
    <w:rPr>
      <w:rFonts w:ascii="Times New Roman" w:hAnsi="Times New Roman"/>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line="480" w:lineRule="auto"/>
      <w:jc w:val="center"/>
    </w:pPr>
    <w:rPr>
      <w:rFonts w:ascii="Arial" w:hAnsi="Arial" w:eastAsia="楷体_GB2312" w:cs="Times New Roman"/>
      <w:b/>
      <w:sz w:val="32"/>
    </w:rPr>
  </w:style>
  <w:style w:type="paragraph" w:styleId="6">
    <w:name w:val="Body Text"/>
    <w:basedOn w:val="1"/>
    <w:qFormat/>
    <w:uiPriority w:val="0"/>
    <w:pPr>
      <w:widowControl w:val="0"/>
      <w:jc w:val="both"/>
    </w:pPr>
    <w:rPr>
      <w:rFonts w:ascii="Calibri" w:hAnsi="Calibri" w:eastAsia="宋体" w:cs="Times New Roman"/>
      <w:b/>
      <w:bCs/>
      <w:kern w:val="2"/>
      <w:sz w:val="30"/>
      <w:szCs w:val="30"/>
      <w:lang w:val="en-US" w:eastAsia="zh-CN" w:bidi="ar-SA"/>
    </w:rPr>
  </w:style>
  <w:style w:type="paragraph" w:styleId="7">
    <w:name w:val="endnote text"/>
    <w:basedOn w:val="1"/>
    <w:next w:val="6"/>
    <w:qFormat/>
    <w:uiPriority w:val="0"/>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标题 2 Char"/>
    <w:link w:val="4"/>
    <w:uiPriority w:val="0"/>
    <w:rPr>
      <w:rFonts w:ascii="Times New Roman" w:hAnsi="Times New Roman" w:eastAsia="黑体"/>
    </w:rPr>
  </w:style>
  <w:style w:type="character" w:customStyle="1" w:styleId="12">
    <w:name w:val="标题 3 Char"/>
    <w:link w:val="5"/>
    <w:uiPriority w:val="0"/>
    <w:rPr>
      <w:rFonts w:ascii="Times New Roman" w:hAnsi="Times New Roman" w:eastAsia="仿宋_GB2312"/>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2024-05-16T07:51:00Z</dcterms:created>
  <dc:creator>憨憨</dc:creator>
  <cp:lastModifiedBy>憨憨</cp:lastModifiedBy>
  <dcterms:modified xsi:type="dcterms:W3CDTF">2024-05-16T07:52:42Z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A6C403BD5A48403089E4C99801FE96F7_11</vt:lpwstr>
  </property>
</Properties>
</file>