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2F4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5652BE7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F62996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4A2DB2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6BE5ADC" w14:textId="77777777" w:rsidR="00241826" w:rsidRDefault="00241826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醴陵市卫生健康综合</w:t>
      </w:r>
    </w:p>
    <w:p w14:paraId="3FB06EC8" w14:textId="77777777" w:rsidR="00241826" w:rsidRDefault="00241826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监督执法大队</w:t>
      </w:r>
    </w:p>
    <w:p w14:paraId="6E96C5B8" w14:textId="77777777" w:rsidR="00241826" w:rsidRDefault="00241826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292C269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DD16DB6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66AA67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480609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C077B3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60FDE4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9D0159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ED88DE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14C9C219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1B27FC5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6809805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4F8D231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7487AD2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140B7B4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17861EC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0F58728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4F2F10B1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5BA03A1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CE1F58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7395F09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5A3BF74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4989FC3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4D9E98C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8573A3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25606356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7DCFA58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220EB46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292B3393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796660A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67979141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3CAC64A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3C9EF03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3871CCF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00CFE90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432C9E1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21B8E62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4D62C57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613DD811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C96F7B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66AA04C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2385B28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5B1E273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2ED3BB8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0BCE139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7BD36B9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8D4505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041BA9A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448F3A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6DB7B15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3B1B63D9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24D23E7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0B2614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464992D1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0F92291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753FA7B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2612903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31347629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44A5E25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AE9804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AEAAE4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82CEA7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E2C40D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2C0F93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024620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ED0A9B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60B93C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531A32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C4C987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181AE6D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70D510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4EB6E8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6FC5F8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4AEA7FA3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12F5AC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0BA072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6BB0C62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7AF548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1C49E6D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5A2A1B2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C5F83F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醴陵市卫生健康综合监督执法大队</w:t>
      </w:r>
    </w:p>
    <w:p w14:paraId="1756D02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787B78A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3D153E6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008C6A50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（一）负责实施卫生专项整治和日常监督检查。</w:t>
      </w:r>
    </w:p>
    <w:p w14:paraId="25D724AE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（二）负责对全市公共场所卫生、传染病防治、学校卫生、生活饮用水卫生、消毒服务机构进行监督检查，查处违法行为。</w:t>
      </w:r>
    </w:p>
    <w:p w14:paraId="49A6E1BB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负责对全市医疗机构、采供血机构及从业人员的执业活动进行监督检查，查处违法行为；打击非法行医和非法采供血；整顿和规范医疗服务秩序；对医疗机构、采供血机构、疾病预防控制机构的传染病疫情报告、疫情控制措施、消毒隔离制度执行情况、医疗废物处置情况和菌（毒）种管理情况等进行监督检查，查处违法行为。</w:t>
      </w:r>
    </w:p>
    <w:p w14:paraId="222EA2F5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（四）负责对全市医疗卫生机构的放射诊疗、用人单位职业病防治、职业卫生技术服务机构及其从业人员的工作情况进行监督检查，查处违法行为。</w:t>
      </w:r>
    </w:p>
    <w:p w14:paraId="722E4EE4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（五）负责母婴保健机构、计划生育技术服务机构及其从业人员行为规范的监督检查工作。</w:t>
      </w:r>
    </w:p>
    <w:p w14:paraId="75958260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（六）负责打击非医学需要的胎儿性别鉴定和人工终止妊娠行为；做好计划生育社会抚养费征收及违法违纪案件的督查督办。</w:t>
      </w:r>
    </w:p>
    <w:p w14:paraId="03B79F54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（七）指导和监督基层卫生计生综合监督执法；负责基层卫生监督协管员的培训和业务指导。</w:t>
      </w:r>
    </w:p>
    <w:p w14:paraId="36681622" w14:textId="77777777" w:rsidR="00241826" w:rsidRDefault="0024182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（八）负责全市卫生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健康监督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信息的收集、核实和上报；受理对卫生计生违法行为的投诉、举报；开展卫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健法律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法规宣传教育和执法检查。</w:t>
      </w:r>
    </w:p>
    <w:p w14:paraId="5225EE2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（九）承担市卫生健康局交办的其他工作。</w:t>
      </w:r>
    </w:p>
    <w:p w14:paraId="142EBCF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6014254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本单位为</w:t>
      </w:r>
      <w:r>
        <w:rPr>
          <w:rFonts w:eastAsia="仿宋_GB2312" w:hint="eastAsia"/>
          <w:sz w:val="32"/>
          <w:szCs w:val="32"/>
        </w:rPr>
        <w:t>醴陵市卫生健康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属于公益一类事业单位，共有编制人数</w:t>
      </w:r>
      <w:r>
        <w:rPr>
          <w:rFonts w:eastAsia="仿宋_GB2312" w:hint="eastAsia"/>
          <w:color w:val="000000"/>
          <w:sz w:val="32"/>
          <w:szCs w:val="32"/>
        </w:rPr>
        <w:t>45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eastAsia="仿宋_GB2312" w:hint="eastAsia"/>
          <w:color w:val="000000"/>
          <w:sz w:val="32"/>
          <w:szCs w:val="32"/>
        </w:rPr>
        <w:t>40</w:t>
      </w:r>
      <w:r>
        <w:rPr>
          <w:rFonts w:eastAsia="仿宋_GB2312"/>
          <w:color w:val="000000"/>
          <w:sz w:val="32"/>
          <w:szCs w:val="32"/>
        </w:rPr>
        <w:t>人。内设科室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ascii="仿宋_GB2312" w:eastAsia="仿宋_GB2312" w:hAnsi="仿宋" w:hint="eastAsia"/>
          <w:sz w:val="32"/>
          <w:szCs w:val="32"/>
        </w:rPr>
        <w:t>办公室、财务股、稽查股、综合卫生监督股、医疗卫生监督股、公共场所卫生监督股、计划生育监督股、职业卫生监督股。</w:t>
      </w:r>
    </w:p>
    <w:p w14:paraId="7FE7BF1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789A66B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56643FE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5EF408E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醴陵市卫生健康综合监督执法大队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eastAsia="仿宋_GB2312" w:hint="eastAsia"/>
          <w:color w:val="000000"/>
          <w:sz w:val="32"/>
          <w:szCs w:val="32"/>
        </w:rPr>
        <w:t>本单位预算，无二级预算单位预算</w:t>
      </w:r>
      <w:r>
        <w:rPr>
          <w:rFonts w:eastAsia="仿宋_GB2312"/>
          <w:sz w:val="32"/>
          <w:szCs w:val="32"/>
        </w:rPr>
        <w:t>。收入包括一般公共预算收入；</w:t>
      </w:r>
      <w:proofErr w:type="gramStart"/>
      <w:r>
        <w:rPr>
          <w:rFonts w:eastAsia="仿宋_GB2312"/>
          <w:sz w:val="32"/>
          <w:szCs w:val="32"/>
        </w:rPr>
        <w:t>支出既</w:t>
      </w:r>
      <w:proofErr w:type="gramEnd"/>
      <w:r>
        <w:rPr>
          <w:rFonts w:eastAsia="仿宋_GB2312"/>
          <w:sz w:val="32"/>
          <w:szCs w:val="32"/>
        </w:rPr>
        <w:t>包括保障</w:t>
      </w:r>
      <w:r>
        <w:rPr>
          <w:rFonts w:eastAsia="仿宋_GB2312" w:hint="eastAsia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基本运行的经费，也包括归口管理、面向全市分配的专项经费。（详见附表）</w:t>
      </w:r>
    </w:p>
    <w:p w14:paraId="5307A35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lastRenderedPageBreak/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520.05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520.05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67135897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520.05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社会保障和就业支出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4.62</w:t>
      </w:r>
      <w:r>
        <w:rPr>
          <w:rFonts w:eastAsia="仿宋_GB2312" w:hint="eastAsia"/>
          <w:sz w:val="32"/>
          <w:szCs w:val="32"/>
        </w:rPr>
        <w:t>万元，卫生健康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</w:rPr>
        <w:t>436.59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，住房保障支出</w:t>
      </w:r>
      <w:r>
        <w:rPr>
          <w:rFonts w:eastAsia="仿宋_GB2312" w:hint="eastAsia"/>
          <w:sz w:val="32"/>
          <w:szCs w:val="32"/>
        </w:rPr>
        <w:t>38.84</w:t>
      </w:r>
      <w:r>
        <w:rPr>
          <w:rFonts w:eastAsia="仿宋_GB2312" w:hint="eastAsia"/>
          <w:sz w:val="32"/>
          <w:szCs w:val="32"/>
        </w:rPr>
        <w:t>万元。</w:t>
      </w:r>
    </w:p>
    <w:p w14:paraId="6C3A73F7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414.15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134.74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76.86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67.27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机关事业单位基本养老保险缴费</w:t>
      </w:r>
      <w:r>
        <w:rPr>
          <w:rFonts w:eastAsia="仿宋_GB2312" w:hint="eastAsia"/>
          <w:color w:val="000000"/>
          <w:sz w:val="32"/>
          <w:szCs w:val="32"/>
        </w:rPr>
        <w:t>44.62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职工基本医疗保险缴费</w:t>
      </w:r>
      <w:r>
        <w:rPr>
          <w:rFonts w:eastAsia="仿宋_GB2312" w:hint="eastAsia"/>
          <w:color w:val="000000"/>
          <w:sz w:val="32"/>
          <w:szCs w:val="32"/>
        </w:rPr>
        <w:t>13.78</w:t>
      </w:r>
      <w:r>
        <w:rPr>
          <w:rFonts w:eastAsia="仿宋_GB2312" w:hint="eastAsia"/>
          <w:color w:val="000000"/>
          <w:sz w:val="32"/>
          <w:szCs w:val="32"/>
        </w:rPr>
        <w:t>万元，住房公积金</w:t>
      </w:r>
      <w:r>
        <w:rPr>
          <w:rFonts w:eastAsia="仿宋_GB2312" w:hint="eastAsia"/>
          <w:color w:val="000000"/>
          <w:sz w:val="32"/>
          <w:szCs w:val="32"/>
        </w:rPr>
        <w:t>38.84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eastAsia="仿宋_GB2312" w:hint="eastAsia"/>
          <w:color w:val="000000"/>
          <w:sz w:val="32"/>
          <w:szCs w:val="32"/>
        </w:rPr>
        <w:t>38.04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197FC62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105.9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55E10CD9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其他运转类支出</w:t>
      </w:r>
      <w:r>
        <w:rPr>
          <w:rFonts w:eastAsia="仿宋_GB2312" w:hint="eastAsia"/>
          <w:color w:val="000000"/>
          <w:sz w:val="32"/>
          <w:szCs w:val="32"/>
        </w:rPr>
        <w:t>99.9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日常工作性专项经费；</w:t>
      </w:r>
    </w:p>
    <w:p w14:paraId="35B6BC6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杨金连等人员工伤抚恤费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退休职工因工伤产生的医药费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用予以</w:t>
      </w:r>
      <w:proofErr w:type="gramEnd"/>
      <w:r>
        <w:rPr>
          <w:rFonts w:eastAsia="仿宋_GB2312" w:hint="eastAsia"/>
          <w:color w:val="000000"/>
          <w:sz w:val="32"/>
          <w:szCs w:val="32"/>
        </w:rPr>
        <w:t>补助。</w:t>
      </w:r>
    </w:p>
    <w:p w14:paraId="3E66472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lastRenderedPageBreak/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520.05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eastAsia="仿宋_GB2312" w:hint="eastAsia"/>
          <w:sz w:val="32"/>
          <w:szCs w:val="32"/>
        </w:rPr>
        <w:t>13.13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主要原因是</w:t>
      </w:r>
      <w:r>
        <w:rPr>
          <w:rFonts w:eastAsia="仿宋_GB2312" w:hint="eastAsia"/>
          <w:sz w:val="32"/>
          <w:szCs w:val="32"/>
        </w:rPr>
        <w:t>人员职级晋升工资福利增加，参公人员公务交通补助纳入预算收支，参公人员公务交通补助纳入公积金计算基数。</w:t>
      </w:r>
    </w:p>
    <w:p w14:paraId="74C59D67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5C34759F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520.05</w:t>
      </w:r>
      <w:r>
        <w:rPr>
          <w:rFonts w:eastAsia="仿宋_GB2312"/>
          <w:sz w:val="32"/>
          <w:szCs w:val="32"/>
        </w:rPr>
        <w:t>万元，具体安排如下：</w:t>
      </w:r>
    </w:p>
    <w:p w14:paraId="639142A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56B7F8F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376.11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color w:val="000000"/>
          <w:sz w:val="32"/>
          <w:szCs w:val="32"/>
        </w:rPr>
        <w:t>134.74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76.86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67.27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机关事业单位基本养老保险缴费</w:t>
      </w:r>
      <w:r>
        <w:rPr>
          <w:rFonts w:eastAsia="仿宋_GB2312" w:hint="eastAsia"/>
          <w:color w:val="000000"/>
          <w:sz w:val="32"/>
          <w:szCs w:val="32"/>
        </w:rPr>
        <w:t>44.62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职工基本医疗保险缴费</w:t>
      </w:r>
      <w:r>
        <w:rPr>
          <w:rFonts w:eastAsia="仿宋_GB2312" w:hint="eastAsia"/>
          <w:color w:val="000000"/>
          <w:sz w:val="32"/>
          <w:szCs w:val="32"/>
        </w:rPr>
        <w:t>13.78</w:t>
      </w:r>
      <w:r>
        <w:rPr>
          <w:rFonts w:eastAsia="仿宋_GB2312" w:hint="eastAsia"/>
          <w:color w:val="000000"/>
          <w:sz w:val="32"/>
          <w:szCs w:val="32"/>
        </w:rPr>
        <w:t>万元，住房公积金</w:t>
      </w:r>
      <w:r>
        <w:rPr>
          <w:rFonts w:eastAsia="仿宋_GB2312" w:hint="eastAsia"/>
          <w:color w:val="000000"/>
          <w:sz w:val="32"/>
          <w:szCs w:val="32"/>
        </w:rPr>
        <w:t>38.84</w:t>
      </w:r>
      <w:r>
        <w:rPr>
          <w:rFonts w:eastAsia="仿宋_GB2312" w:hint="eastAsia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</w:t>
      </w:r>
    </w:p>
    <w:p w14:paraId="6AD6B07C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38.04</w:t>
      </w:r>
      <w:r>
        <w:rPr>
          <w:rFonts w:eastAsia="仿宋_GB2312" w:hint="eastAsia"/>
          <w:sz w:val="32"/>
          <w:szCs w:val="32"/>
        </w:rPr>
        <w:t>万元。其中：办公费</w:t>
      </w:r>
      <w:r>
        <w:rPr>
          <w:rFonts w:eastAsia="仿宋_GB2312" w:hint="eastAsia"/>
          <w:sz w:val="32"/>
          <w:szCs w:val="32"/>
        </w:rPr>
        <w:t>10.5</w:t>
      </w:r>
      <w:r>
        <w:rPr>
          <w:rFonts w:eastAsia="仿宋_GB2312" w:hint="eastAsia"/>
          <w:sz w:val="32"/>
          <w:szCs w:val="32"/>
        </w:rPr>
        <w:t>万元，工会经费</w:t>
      </w:r>
      <w:r>
        <w:rPr>
          <w:rFonts w:eastAsia="仿宋_GB2312" w:hint="eastAsia"/>
          <w:sz w:val="32"/>
          <w:szCs w:val="32"/>
        </w:rPr>
        <w:t>6.28</w:t>
      </w:r>
      <w:r>
        <w:rPr>
          <w:rFonts w:eastAsia="仿宋_GB2312" w:hint="eastAsia"/>
          <w:sz w:val="32"/>
          <w:szCs w:val="32"/>
        </w:rPr>
        <w:t>万元，福利费</w:t>
      </w:r>
      <w:r>
        <w:rPr>
          <w:rFonts w:eastAsia="仿宋_GB2312" w:hint="eastAsia"/>
          <w:sz w:val="32"/>
          <w:szCs w:val="32"/>
        </w:rPr>
        <w:t>9.41</w:t>
      </w:r>
      <w:r>
        <w:rPr>
          <w:rFonts w:eastAsia="仿宋_GB2312" w:hint="eastAsia"/>
          <w:sz w:val="32"/>
          <w:szCs w:val="32"/>
        </w:rPr>
        <w:t>万元，公务用车运行维护费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,</w:t>
      </w:r>
      <w:r>
        <w:rPr>
          <w:rFonts w:eastAsia="仿宋_GB2312" w:hint="eastAsia"/>
          <w:sz w:val="32"/>
          <w:szCs w:val="32"/>
        </w:rPr>
        <w:t>其他交通费用</w:t>
      </w:r>
      <w:r>
        <w:rPr>
          <w:rFonts w:eastAsia="仿宋_GB2312" w:hint="eastAsia"/>
          <w:sz w:val="32"/>
          <w:szCs w:val="32"/>
        </w:rPr>
        <w:t>9.85</w:t>
      </w:r>
      <w:r>
        <w:rPr>
          <w:rFonts w:eastAsia="仿宋_GB2312" w:hint="eastAsia"/>
          <w:sz w:val="32"/>
          <w:szCs w:val="32"/>
        </w:rPr>
        <w:t>万元。</w:t>
      </w:r>
    </w:p>
    <w:p w14:paraId="493D6AF3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543CC75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99.9</w:t>
      </w:r>
      <w:r>
        <w:rPr>
          <w:rFonts w:eastAsia="仿宋_GB2312" w:hint="eastAsia"/>
          <w:sz w:val="32"/>
          <w:szCs w:val="32"/>
        </w:rPr>
        <w:t>万元。其中：</w:t>
      </w:r>
    </w:p>
    <w:p w14:paraId="3AB73C8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按项目管理的工资福利支出</w:t>
      </w:r>
      <w:r>
        <w:rPr>
          <w:rFonts w:eastAsia="仿宋_GB2312" w:hint="eastAsia"/>
          <w:sz w:val="32"/>
          <w:szCs w:val="32"/>
        </w:rPr>
        <w:t>40.16</w:t>
      </w:r>
      <w:r>
        <w:rPr>
          <w:rFonts w:eastAsia="仿宋_GB2312" w:hint="eastAsia"/>
          <w:sz w:val="32"/>
          <w:szCs w:val="32"/>
        </w:rPr>
        <w:t>万元，按项目管理的商品和服务支出</w:t>
      </w:r>
      <w:r>
        <w:rPr>
          <w:rFonts w:eastAsia="仿宋_GB2312" w:hint="eastAsia"/>
          <w:sz w:val="32"/>
          <w:szCs w:val="32"/>
        </w:rPr>
        <w:t>59.74</w:t>
      </w:r>
      <w:r>
        <w:rPr>
          <w:rFonts w:eastAsia="仿宋_GB2312" w:hint="eastAsia"/>
          <w:sz w:val="32"/>
          <w:szCs w:val="32"/>
        </w:rPr>
        <w:t>万元。</w:t>
      </w:r>
    </w:p>
    <w:p w14:paraId="2298DEA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5DA38D6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杨金连等人员工伤抚恤费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eastAsia="仿宋_GB2312" w:hint="eastAsia"/>
          <w:color w:val="000000"/>
          <w:sz w:val="32"/>
          <w:szCs w:val="32"/>
        </w:rPr>
        <w:t>退休职工因工伤产生的医药费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用予以</w:t>
      </w:r>
      <w:proofErr w:type="gramEnd"/>
      <w:r>
        <w:rPr>
          <w:rFonts w:eastAsia="仿宋_GB2312" w:hint="eastAsia"/>
          <w:color w:val="000000"/>
          <w:sz w:val="32"/>
          <w:szCs w:val="32"/>
        </w:rPr>
        <w:t>补助。</w:t>
      </w:r>
    </w:p>
    <w:p w14:paraId="66759518" w14:textId="77777777" w:rsidR="00241826" w:rsidRDefault="00241826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政府性基金预算支出</w:t>
      </w:r>
    </w:p>
    <w:p w14:paraId="47E59548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年度本部门无政府性基金预算安排的支出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4D9CC3A5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120A7EA4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137.94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比上年度预算增加</w:t>
      </w:r>
      <w:r>
        <w:rPr>
          <w:rFonts w:eastAsia="仿宋_GB2312" w:hint="eastAsia"/>
          <w:sz w:val="32"/>
          <w:szCs w:val="32"/>
        </w:rPr>
        <w:t>39.57</w:t>
      </w:r>
      <w:r>
        <w:rPr>
          <w:rFonts w:eastAsia="仿宋_GB2312"/>
          <w:sz w:val="32"/>
          <w:szCs w:val="32"/>
        </w:rPr>
        <w:t>万元，增加的主要原因是：</w:t>
      </w:r>
      <w:r>
        <w:rPr>
          <w:rFonts w:eastAsia="仿宋_GB2312" w:hint="eastAsia"/>
          <w:sz w:val="32"/>
          <w:szCs w:val="32"/>
        </w:rPr>
        <w:t>其中其他运转类包含纳入一般公共预算管理的非税收入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公用类支出</w:t>
      </w:r>
      <w:r>
        <w:rPr>
          <w:rFonts w:eastAsia="仿宋_GB2312" w:hint="eastAsia"/>
          <w:sz w:val="32"/>
          <w:szCs w:val="32"/>
        </w:rPr>
        <w:t>包含参公人</w:t>
      </w:r>
      <w:proofErr w:type="gramStart"/>
      <w:r>
        <w:rPr>
          <w:rFonts w:eastAsia="仿宋_GB2312" w:hint="eastAsia"/>
          <w:sz w:val="32"/>
          <w:szCs w:val="32"/>
        </w:rPr>
        <w:t>员</w:t>
      </w:r>
      <w:r>
        <w:rPr>
          <w:rFonts w:eastAsia="仿宋_GB2312" w:hint="eastAsia"/>
          <w:sz w:val="32"/>
          <w:szCs w:val="32"/>
        </w:rPr>
        <w:t>其他</w:t>
      </w:r>
      <w:proofErr w:type="gramEnd"/>
      <w:r>
        <w:rPr>
          <w:rFonts w:eastAsia="仿宋_GB2312" w:hint="eastAsia"/>
          <w:sz w:val="32"/>
          <w:szCs w:val="32"/>
        </w:rPr>
        <w:t>交通费用</w:t>
      </w:r>
      <w:r>
        <w:rPr>
          <w:rFonts w:eastAsia="仿宋_GB2312" w:hint="eastAsia"/>
          <w:sz w:val="32"/>
          <w:szCs w:val="32"/>
        </w:rPr>
        <w:t>。</w:t>
      </w:r>
    </w:p>
    <w:p w14:paraId="37A90A0F" w14:textId="77777777" w:rsidR="00241826" w:rsidRDefault="0024182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55</w:t>
      </w:r>
      <w:r>
        <w:rPr>
          <w:rFonts w:eastAsia="仿宋_GB2312"/>
          <w:sz w:val="32"/>
          <w:szCs w:val="32"/>
        </w:rPr>
        <w:t>万元。包含：</w:t>
      </w:r>
      <w:r>
        <w:rPr>
          <w:rFonts w:eastAsia="仿宋_GB2312" w:hint="eastAsia"/>
          <w:sz w:val="32"/>
          <w:szCs w:val="32"/>
        </w:rPr>
        <w:t>日常性采购（电子卖场下单）</w:t>
      </w:r>
      <w:r>
        <w:rPr>
          <w:rFonts w:eastAsia="仿宋_GB2312" w:hint="eastAsia"/>
          <w:sz w:val="32"/>
          <w:szCs w:val="32"/>
        </w:rPr>
        <w:t>55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其中：</w:t>
      </w:r>
      <w:r>
        <w:rPr>
          <w:rFonts w:eastAsia="仿宋_GB2312"/>
          <w:sz w:val="32"/>
          <w:szCs w:val="32"/>
        </w:rPr>
        <w:t>政府采购货物</w:t>
      </w:r>
      <w:r>
        <w:rPr>
          <w:rFonts w:eastAsia="仿宋_GB2312" w:hint="eastAsia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万元。（备注：根据政府采购预算表的采购目录名称，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开头为货物类，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/>
          <w:sz w:val="32"/>
          <w:szCs w:val="32"/>
        </w:rPr>
        <w:t>开头为工程类，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/>
          <w:sz w:val="32"/>
          <w:szCs w:val="32"/>
        </w:rPr>
        <w:t>开头为服务类）。</w:t>
      </w:r>
    </w:p>
    <w:p w14:paraId="6AF3A8E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sz w:val="32"/>
          <w:szCs w:val="32"/>
        </w:rPr>
        <w:t>1895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辆，其中</w:t>
      </w:r>
      <w:r>
        <w:rPr>
          <w:rFonts w:eastAsia="仿宋_GB2312" w:hint="eastAsia"/>
          <w:color w:val="000000"/>
          <w:sz w:val="32"/>
          <w:szCs w:val="32"/>
        </w:rPr>
        <w:t>特种专业技术用车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辆，</w:t>
      </w:r>
      <w:r>
        <w:rPr>
          <w:rFonts w:eastAsia="仿宋_GB2312"/>
          <w:sz w:val="32"/>
          <w:szCs w:val="32"/>
        </w:rPr>
        <w:t>一般公务用车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20A4973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520.05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414.15</w:t>
      </w:r>
      <w:r>
        <w:rPr>
          <w:rFonts w:eastAsia="仿宋_GB2312"/>
          <w:sz w:val="32"/>
          <w:szCs w:val="32"/>
        </w:rPr>
        <w:t>万元，项目支</w:t>
      </w:r>
      <w:r>
        <w:rPr>
          <w:rFonts w:eastAsia="仿宋_GB2312"/>
          <w:sz w:val="32"/>
          <w:szCs w:val="32"/>
        </w:rPr>
        <w:lastRenderedPageBreak/>
        <w:t>出</w:t>
      </w:r>
      <w:r>
        <w:rPr>
          <w:rFonts w:eastAsia="仿宋_GB2312" w:hint="eastAsia"/>
          <w:sz w:val="32"/>
          <w:szCs w:val="32"/>
        </w:rPr>
        <w:t>105.9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654AE4D6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3.74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3.35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（公务用车购置费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万元、公务用车运行费</w:t>
      </w:r>
      <w:r>
        <w:rPr>
          <w:rFonts w:eastAsia="仿宋_GB2312" w:hint="eastAsia"/>
          <w:sz w:val="32"/>
          <w:szCs w:val="32"/>
        </w:rPr>
        <w:t>3.35</w:t>
      </w:r>
      <w:r>
        <w:rPr>
          <w:rFonts w:eastAsia="仿宋_GB2312"/>
          <w:sz w:val="32"/>
          <w:szCs w:val="32"/>
        </w:rPr>
        <w:t>万元）、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</w:t>
      </w:r>
      <w:r>
        <w:rPr>
          <w:rFonts w:eastAsia="仿宋_GB2312"/>
          <w:sz w:val="32"/>
          <w:szCs w:val="32"/>
        </w:rPr>
        <w:t>待费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0.39</w:t>
      </w:r>
      <w:r>
        <w:rPr>
          <w:rFonts w:eastAsia="仿宋_GB2312"/>
          <w:sz w:val="32"/>
          <w:szCs w:val="32"/>
        </w:rPr>
        <w:t>万元。</w:t>
      </w:r>
    </w:p>
    <w:p w14:paraId="0539D23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年减少</w:t>
      </w:r>
      <w:r>
        <w:rPr>
          <w:rFonts w:eastAsia="仿宋_GB2312" w:hint="eastAsia"/>
          <w:sz w:val="32"/>
          <w:szCs w:val="32"/>
        </w:rPr>
        <w:t>0.06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eastAsia="仿宋_GB2312" w:hint="eastAsia"/>
          <w:sz w:val="32"/>
          <w:szCs w:val="32"/>
        </w:rPr>
        <w:t>落实过紧日子的思想，厉行节约</w:t>
      </w:r>
      <w:r>
        <w:rPr>
          <w:rFonts w:eastAsia="仿宋_GB2312"/>
          <w:sz w:val="32"/>
          <w:szCs w:val="32"/>
        </w:rPr>
        <w:t>。</w:t>
      </w:r>
    </w:p>
    <w:p w14:paraId="1643489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2E44F8A3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27036400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万元，主要包括</w:t>
      </w:r>
      <w:r>
        <w:rPr>
          <w:rFonts w:eastAsia="仿宋_GB2312" w:hint="eastAsia"/>
          <w:sz w:val="32"/>
          <w:szCs w:val="32"/>
        </w:rPr>
        <w:t>卫生</w:t>
      </w:r>
      <w:proofErr w:type="gramStart"/>
      <w:r>
        <w:rPr>
          <w:rFonts w:eastAsia="仿宋_GB2312" w:hint="eastAsia"/>
          <w:sz w:val="32"/>
          <w:szCs w:val="32"/>
        </w:rPr>
        <w:t>健康监督</w:t>
      </w:r>
      <w:proofErr w:type="gramEnd"/>
      <w:r>
        <w:rPr>
          <w:rFonts w:eastAsia="仿宋_GB2312" w:hint="eastAsia"/>
          <w:sz w:val="32"/>
          <w:szCs w:val="32"/>
        </w:rPr>
        <w:t>业务培训。在本年度内开展系列专题培训，培训对象为：全体监督员、各街镇协管员、用人单位、医疗机构、公共场所、饮用水、学校等各类监管对象负责人及卫生管理人员。培训内容为：卫生健康综合监督业务培训、有关卫生健康法律法规、卫生规范、卫生标准业务培训。</w:t>
      </w:r>
    </w:p>
    <w:p w14:paraId="48202539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 w14:paraId="1440D1A7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15B7B442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</w:t>
      </w:r>
      <w:r>
        <w:rPr>
          <w:rFonts w:eastAsia="仿宋_GB2312"/>
          <w:sz w:val="32"/>
          <w:szCs w:val="32"/>
        </w:rPr>
        <w:lastRenderedPageBreak/>
        <w:t>上划中央收入、上划省级收入三部分构成。</w:t>
      </w:r>
    </w:p>
    <w:p w14:paraId="438B117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92A7CCA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7E023ACE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3696E07B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552E9B09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77FE85A1" w14:textId="77777777" w:rsidR="00241826" w:rsidRDefault="0024182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CEBD0" w14:textId="77777777" w:rsidR="00241826" w:rsidRDefault="00241826">
      <w:r>
        <w:separator/>
      </w:r>
    </w:p>
  </w:endnote>
  <w:endnote w:type="continuationSeparator" w:id="0">
    <w:p w14:paraId="7F276B97" w14:textId="77777777" w:rsidR="00241826" w:rsidRDefault="002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E7C89" w14:textId="77777777" w:rsidR="00241826" w:rsidRDefault="00241826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57EC3BA1" w14:textId="77777777" w:rsidR="00241826" w:rsidRDefault="00241826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0E349" w14:textId="77777777" w:rsidR="00241826" w:rsidRDefault="00241826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532C4867" w14:textId="77777777" w:rsidR="00241826" w:rsidRDefault="0024182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8D1CB" w14:textId="77777777" w:rsidR="00241826" w:rsidRDefault="00241826">
      <w:r>
        <w:separator/>
      </w:r>
    </w:p>
  </w:footnote>
  <w:footnote w:type="continuationSeparator" w:id="0">
    <w:p w14:paraId="14C69FAA" w14:textId="77777777" w:rsidR="00241826" w:rsidRDefault="0024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12669" w14:textId="77777777" w:rsidR="00241826" w:rsidRDefault="00241826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169129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zZTZiMmM2MGNlNWIwMmI2Y2IzMjMwYzBiZDQ2MmY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1826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1DCB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24F7EF8"/>
    <w:rsid w:val="05025778"/>
    <w:rsid w:val="050D1966"/>
    <w:rsid w:val="058A7C48"/>
    <w:rsid w:val="059211F2"/>
    <w:rsid w:val="06A05249"/>
    <w:rsid w:val="0AFC2842"/>
    <w:rsid w:val="0C0F3530"/>
    <w:rsid w:val="0C2B1A59"/>
    <w:rsid w:val="0D173964"/>
    <w:rsid w:val="0EFF77EC"/>
    <w:rsid w:val="10186A35"/>
    <w:rsid w:val="105C48D7"/>
    <w:rsid w:val="12802AFE"/>
    <w:rsid w:val="13824654"/>
    <w:rsid w:val="13947AD3"/>
    <w:rsid w:val="158A2658"/>
    <w:rsid w:val="15BB209F"/>
    <w:rsid w:val="15CA3C69"/>
    <w:rsid w:val="167A0B6C"/>
    <w:rsid w:val="16B14386"/>
    <w:rsid w:val="1871248E"/>
    <w:rsid w:val="1AFD5B77"/>
    <w:rsid w:val="1C1C77F0"/>
    <w:rsid w:val="1D35335A"/>
    <w:rsid w:val="1D7F02EE"/>
    <w:rsid w:val="1D8F3C53"/>
    <w:rsid w:val="1D9633E2"/>
    <w:rsid w:val="1E5932A8"/>
    <w:rsid w:val="1FF70178"/>
    <w:rsid w:val="2165505F"/>
    <w:rsid w:val="21BA1CD2"/>
    <w:rsid w:val="21EF55AB"/>
    <w:rsid w:val="24227894"/>
    <w:rsid w:val="299C54C5"/>
    <w:rsid w:val="2BA030C2"/>
    <w:rsid w:val="2BD433D6"/>
    <w:rsid w:val="2BDC604C"/>
    <w:rsid w:val="2C3F500D"/>
    <w:rsid w:val="2D6F134E"/>
    <w:rsid w:val="2D754D37"/>
    <w:rsid w:val="2E6710BD"/>
    <w:rsid w:val="2E7B14E3"/>
    <w:rsid w:val="30EB1633"/>
    <w:rsid w:val="31091AB9"/>
    <w:rsid w:val="32A9256B"/>
    <w:rsid w:val="32AE6AA0"/>
    <w:rsid w:val="332C14A7"/>
    <w:rsid w:val="3330097C"/>
    <w:rsid w:val="340B78F6"/>
    <w:rsid w:val="343B01DB"/>
    <w:rsid w:val="34AE2C27"/>
    <w:rsid w:val="36637EBD"/>
    <w:rsid w:val="36952654"/>
    <w:rsid w:val="36BB1984"/>
    <w:rsid w:val="379B03E1"/>
    <w:rsid w:val="37DA1C37"/>
    <w:rsid w:val="37FB0458"/>
    <w:rsid w:val="39E529B5"/>
    <w:rsid w:val="3A5510BC"/>
    <w:rsid w:val="3A55415D"/>
    <w:rsid w:val="3C5F6999"/>
    <w:rsid w:val="3CF864FD"/>
    <w:rsid w:val="3D4C16AB"/>
    <w:rsid w:val="3D823F0E"/>
    <w:rsid w:val="3E0B6E71"/>
    <w:rsid w:val="3E1C4D32"/>
    <w:rsid w:val="3FC1012F"/>
    <w:rsid w:val="3FD414E4"/>
    <w:rsid w:val="40426D63"/>
    <w:rsid w:val="40442B0E"/>
    <w:rsid w:val="4060496F"/>
    <w:rsid w:val="42312858"/>
    <w:rsid w:val="42C4798B"/>
    <w:rsid w:val="433B3727"/>
    <w:rsid w:val="43DB33E3"/>
    <w:rsid w:val="44031F70"/>
    <w:rsid w:val="4496707C"/>
    <w:rsid w:val="45FB77CB"/>
    <w:rsid w:val="4B1A7882"/>
    <w:rsid w:val="4BAD15EE"/>
    <w:rsid w:val="4C1F1C7B"/>
    <w:rsid w:val="4CF55F1E"/>
    <w:rsid w:val="4D686265"/>
    <w:rsid w:val="4DBB69A9"/>
    <w:rsid w:val="4DCD5EF0"/>
    <w:rsid w:val="4E3F2145"/>
    <w:rsid w:val="4FA52AD8"/>
    <w:rsid w:val="50466C4E"/>
    <w:rsid w:val="51593E0B"/>
    <w:rsid w:val="519B63B5"/>
    <w:rsid w:val="51C24C0E"/>
    <w:rsid w:val="532141C1"/>
    <w:rsid w:val="53285977"/>
    <w:rsid w:val="541A704A"/>
    <w:rsid w:val="54846CD3"/>
    <w:rsid w:val="55E90F00"/>
    <w:rsid w:val="55F346DC"/>
    <w:rsid w:val="58F2629D"/>
    <w:rsid w:val="5A2D1C5B"/>
    <w:rsid w:val="5B85008A"/>
    <w:rsid w:val="5C3F77E0"/>
    <w:rsid w:val="5C4200CE"/>
    <w:rsid w:val="5C79326A"/>
    <w:rsid w:val="5D5955EF"/>
    <w:rsid w:val="5DFB707D"/>
    <w:rsid w:val="5EA26F25"/>
    <w:rsid w:val="5EC958E4"/>
    <w:rsid w:val="5EF17565"/>
    <w:rsid w:val="600B28A8"/>
    <w:rsid w:val="612A51A9"/>
    <w:rsid w:val="614B7113"/>
    <w:rsid w:val="617F354E"/>
    <w:rsid w:val="62854B94"/>
    <w:rsid w:val="680E1037"/>
    <w:rsid w:val="680E73DA"/>
    <w:rsid w:val="689D3E92"/>
    <w:rsid w:val="691F2659"/>
    <w:rsid w:val="696D376D"/>
    <w:rsid w:val="6A5C61DA"/>
    <w:rsid w:val="6AF66E49"/>
    <w:rsid w:val="6DD864C0"/>
    <w:rsid w:val="6DE273CB"/>
    <w:rsid w:val="70573010"/>
    <w:rsid w:val="74824FCD"/>
    <w:rsid w:val="755723C0"/>
    <w:rsid w:val="7627167B"/>
    <w:rsid w:val="76BE2EEC"/>
    <w:rsid w:val="76E316D1"/>
    <w:rsid w:val="78D10C58"/>
    <w:rsid w:val="791752BB"/>
    <w:rsid w:val="7A0153FB"/>
    <w:rsid w:val="7A8D418E"/>
    <w:rsid w:val="7BD80ACC"/>
    <w:rsid w:val="7BDD1D27"/>
    <w:rsid w:val="7C4C19A1"/>
    <w:rsid w:val="7D44147C"/>
    <w:rsid w:val="7E69341C"/>
    <w:rsid w:val="7E975501"/>
    <w:rsid w:val="7F093CA0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419D13B2"/>
  <w15:chartTrackingRefBased/>
  <w15:docId w15:val="{A8F65860-115A-4414-ACD0-C6AEE22E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3569</Words>
  <Characters>424</Characters>
  <Application>Microsoft Office Word</Application>
  <DocSecurity>0</DocSecurity>
  <Lines>3</Lines>
  <Paragraphs>7</Paragraphs>
  <ScaleCrop>false</ScaleCrop>
  <Company>h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2024-05-07T03:29:00Z</cp:lastPrinted>
  <dcterms:created xsi:type="dcterms:W3CDTF">2024-05-08T07:26:00Z</dcterms:created>
  <dcterms:modified xsi:type="dcterms:W3CDTF">2024-05-08T07:26:00Z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98F9EB50284142BF92758984E7095B47_13</vt:lpwstr>
  </property>
</Properties>
</file>