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醴陵市社会福利中心</w:t>
      </w:r>
      <w:r>
        <w:rPr>
          <w:rFonts w:eastAsia="方正小标宋简体"/>
          <w:bCs/>
          <w:sz w:val="84"/>
          <w:szCs w:val="84"/>
        </w:rPr>
        <w:t>202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>4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  <w:r>
        <w:rPr>
          <w:rFonts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3840" w:firstLineChars="1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醴陵市社会福利中心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4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>
      <w:pPr>
        <w:pStyle w:val="14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本部门主要职责是：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承担为城区范围内集中供养对象提供救助保护工作；负责城区农村五保户、城市“三无人员”的集中供养等事务性工作。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pStyle w:val="14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醴陵市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社会福利中心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是市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民政局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主管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五保老人集中供养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工作的正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公益一类单位二级机构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，现有在职人员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人，属市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级预算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全额拨款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独立核算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单位。</w:t>
      </w:r>
    </w:p>
    <w:p>
      <w:pPr>
        <w:pStyle w:val="14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本单位共有人员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人，其中在职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在编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eastAsia="仿宋_GB2312"/>
          <w:color w:val="000000"/>
          <w:sz w:val="32"/>
          <w:szCs w:val="32"/>
        </w:rPr>
        <w:t>本部门无下属预算单位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本单位无下属机构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 xml:space="preserve"> 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醴陵市社会福利中心</w:t>
      </w:r>
      <w:r>
        <w:rPr>
          <w:rFonts w:hint="eastAsia" w:eastAsia="仿宋_GB2312"/>
          <w:color w:val="000000"/>
          <w:sz w:val="32"/>
          <w:szCs w:val="32"/>
        </w:rPr>
        <w:t>公开的部门预算为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本单位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收入包括一般公共预算收入、上级财政补助等收入；支出</w:t>
      </w:r>
      <w:r>
        <w:rPr>
          <w:rFonts w:hint="eastAsia" w:eastAsia="仿宋_GB2312"/>
          <w:sz w:val="32"/>
          <w:szCs w:val="32"/>
          <w:lang w:eastAsia="zh-CN"/>
        </w:rPr>
        <w:t>只</w:t>
      </w:r>
      <w:r>
        <w:rPr>
          <w:rFonts w:eastAsia="仿宋_GB2312"/>
          <w:sz w:val="32"/>
          <w:szCs w:val="32"/>
        </w:rPr>
        <w:t>包括保障</w:t>
      </w:r>
      <w:r>
        <w:rPr>
          <w:rFonts w:hint="eastAsia" w:eastAsia="仿宋_GB2312"/>
          <w:sz w:val="32"/>
          <w:szCs w:val="32"/>
          <w:lang w:eastAsia="zh-CN"/>
        </w:rPr>
        <w:t>本</w:t>
      </w:r>
      <w:r>
        <w:rPr>
          <w:rFonts w:eastAsia="仿宋_GB2312"/>
          <w:sz w:val="32"/>
          <w:szCs w:val="32"/>
        </w:rPr>
        <w:t>单位基本运行的经费。（详见附表）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87.36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67.36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年年初预算数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87.36</w:t>
      </w:r>
      <w:r>
        <w:rPr>
          <w:rFonts w:eastAsia="仿宋_GB2312"/>
          <w:color w:val="000000"/>
          <w:sz w:val="32"/>
          <w:szCs w:val="32"/>
        </w:rPr>
        <w:t>万元，其中，</w:t>
      </w:r>
      <w:r>
        <w:rPr>
          <w:rFonts w:hint="eastAsia" w:eastAsia="仿宋_GB2312"/>
          <w:color w:val="000000"/>
          <w:sz w:val="32"/>
          <w:szCs w:val="32"/>
        </w:rPr>
        <w:t>社会保障和就业支出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79.01</w:t>
      </w:r>
      <w:r>
        <w:rPr>
          <w:rFonts w:hint="eastAsia" w:eastAsia="仿宋_GB2312"/>
          <w:color w:val="000000"/>
          <w:sz w:val="32"/>
          <w:szCs w:val="32"/>
        </w:rPr>
        <w:t>万元、卫生健康支出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2.36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，住房保障支出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5.99万元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58.66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19.49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13.18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10.7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职工基本医疗保险缴费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2.36万元、住房公积金5.99万元、机关事业单位基本养老保险6.94万元等。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28.7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sz w:val="32"/>
          <w:szCs w:val="32"/>
          <w:lang w:val="en-US" w:eastAsia="zh-CN"/>
        </w:rPr>
        <w:t>特定目标类支出：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社会福利事业单位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sz w:val="32"/>
          <w:szCs w:val="32"/>
        </w:rPr>
        <w:t>支出为</w:t>
      </w:r>
      <w:r>
        <w:rPr>
          <w:rFonts w:hint="eastAsia" w:eastAsia="仿宋_GB2312"/>
          <w:sz w:val="32"/>
          <w:szCs w:val="32"/>
          <w:lang w:val="en-US" w:eastAsia="zh-CN"/>
        </w:rPr>
        <w:t>28.7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社会福利事业单位商品和服务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支出，其中</w:t>
      </w:r>
      <w:r>
        <w:rPr>
          <w:rFonts w:hint="eastAsia" w:eastAsia="仿宋_GB2312"/>
          <w:sz w:val="32"/>
          <w:szCs w:val="32"/>
          <w:lang w:val="en-US" w:eastAsia="zh-CN"/>
        </w:rPr>
        <w:t>其中运转经费28.7万元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87.36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21.32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主要原因是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本年没有上级专项转移支付款项。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87.36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58.66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19.49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13.18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10.7</w:t>
      </w:r>
      <w:r>
        <w:rPr>
          <w:rFonts w:eastAsia="仿宋_GB2312"/>
          <w:sz w:val="32"/>
          <w:szCs w:val="32"/>
        </w:rPr>
        <w:t>万</w:t>
      </w:r>
      <w:r>
        <w:rPr>
          <w:rFonts w:hint="eastAsia" w:eastAsia="仿宋_GB2312"/>
          <w:sz w:val="32"/>
          <w:szCs w:val="32"/>
          <w:lang w:eastAsia="zh-CN"/>
        </w:rPr>
        <w:t>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职工基本医疗保险缴费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2.36万元、住房公积金5.99万元、机关事业单位基本养老保险6.94万元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2、公用类支出。2024年年初预算数为0元。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1、其他运转类支出。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度本单位其他运转类项目支出年初预算数为</w:t>
      </w:r>
      <w:r>
        <w:rPr>
          <w:rFonts w:hint="eastAsia" w:eastAsia="仿宋_GB2312"/>
          <w:sz w:val="32"/>
          <w:szCs w:val="32"/>
          <w:lang w:val="en-US" w:eastAsia="zh-CN"/>
        </w:rPr>
        <w:t>28.7万元，其中运转经费28.7万元。</w:t>
      </w:r>
    </w:p>
    <w:p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2、特定目标类支出。</w:t>
      </w:r>
    </w:p>
    <w:p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hint="eastAsia" w:eastAsia="仿宋_GB2312"/>
          <w:bCs/>
          <w:color w:val="000000"/>
          <w:sz w:val="32"/>
          <w:szCs w:val="32"/>
        </w:rPr>
        <w:t>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bCs/>
          <w:color w:val="000000"/>
          <w:sz w:val="32"/>
          <w:szCs w:val="32"/>
        </w:rPr>
        <w:t>年度本部门无政府性基金预算安排的支出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28.7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比上年度预算减少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32.18</w:t>
      </w:r>
      <w:r>
        <w:rPr>
          <w:rFonts w:eastAsia="仿宋_GB2312"/>
          <w:color w:val="000000"/>
          <w:sz w:val="32"/>
          <w:szCs w:val="32"/>
        </w:rPr>
        <w:t>万元，</w:t>
      </w:r>
      <w:r>
        <w:rPr>
          <w:rFonts w:eastAsia="仿宋_GB2312"/>
          <w:bCs/>
          <w:color w:val="000000"/>
          <w:sz w:val="32"/>
          <w:szCs w:val="32"/>
        </w:rPr>
        <w:t>减少的主要原因是：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厉行节俭。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47</w:t>
      </w:r>
      <w:r>
        <w:rPr>
          <w:rFonts w:eastAsia="仿宋_GB2312"/>
          <w:sz w:val="32"/>
          <w:szCs w:val="32"/>
        </w:rPr>
        <w:t>万元。包含采购货物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32</w:t>
      </w:r>
      <w:r>
        <w:rPr>
          <w:rFonts w:eastAsia="仿宋_GB2312"/>
          <w:sz w:val="32"/>
          <w:szCs w:val="32"/>
        </w:rPr>
        <w:t>万元，工程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万元，服务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7558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 辆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87.36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58.66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28.7万元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color w:val="000000"/>
          <w:sz w:val="32"/>
          <w:szCs w:val="32"/>
        </w:rPr>
        <w:t>本单位无公共财政拨款三公经费预算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eastAsia="zh-CN"/>
        </w:rPr>
        <w:t>六</w:t>
      </w:r>
      <w:r>
        <w:rPr>
          <w:rFonts w:eastAsia="楷体_GB2312"/>
          <w:bCs/>
          <w:sz w:val="32"/>
          <w:szCs w:val="32"/>
        </w:rPr>
        <w:t>）其他事项。</w:t>
      </w:r>
      <w:r>
        <w:rPr>
          <w:rFonts w:eastAsia="仿宋_GB2312"/>
          <w:color w:val="000000"/>
          <w:sz w:val="32"/>
          <w:szCs w:val="32"/>
        </w:rPr>
        <w:t>本单位20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年预算未安排政府性基金收支预算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，无重点专项支出预算。本单位无门户网站，统一在政府门户网站上公开。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b/>
          <w:sz w:val="32"/>
          <w:szCs w:val="32"/>
        </w:rPr>
        <w:t xml:space="preserve">    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  <w:rFonts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DA2MDU1ZGYxNTg1ZWNiZDAyNGJmNTExOTk5NWI0NjAifQ=="/>
  </w:docVars>
  <w:rsids>
    <w:rsidRoot w:val="00000000"/>
    <w:rsid w:val="4CA63DE7"/>
    <w:rsid w:val="511C4FDE"/>
    <w:rsid w:val="6B7426F3"/>
    <w:rsid w:val="70244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autoRedefine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autoRedefine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7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autoRedefine/>
    <w:qFormat/>
    <w:uiPriority w:val="0"/>
    <w:pPr>
      <w:ind w:left="2500" w:leftChars="2500"/>
    </w:pPr>
  </w:style>
  <w:style w:type="paragraph" w:styleId="11">
    <w:name w:val="Balloon Text"/>
    <w:basedOn w:val="1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5"/>
    <w:autoRedefine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5">
    <w:name w:val="正文1"/>
    <w:autoRedefine/>
    <w:qFormat/>
    <w:uiPriority w:val="0"/>
    <w:pPr>
      <w:widowControl/>
      <w:suppressAutoHyphens w:val="0"/>
      <w:kinsoku w:val="0"/>
      <w:bidi w:val="0"/>
      <w:snapToGrid w:val="0"/>
      <w:spacing w:beforeAutospacing="0" w:afterAutospacing="0"/>
      <w:jc w:val="left"/>
      <w:textAlignment w:val="baseline"/>
    </w:pPr>
    <w:rPr>
      <w:rFonts w:ascii="Arial" w:hAnsi="Arial" w:eastAsia="Arial" w:cs="Arial"/>
      <w:color w:val="000000"/>
      <w:kern w:val="0"/>
      <w:sz w:val="21"/>
      <w:szCs w:val="21"/>
      <w:lang w:val="en-US" w:eastAsia="zh-CN" w:bidi="ar-SA"/>
    </w:rPr>
  </w:style>
  <w:style w:type="character" w:styleId="18">
    <w:name w:val="page number"/>
    <w:basedOn w:val="1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9</Pages>
  <Words>0</Words>
  <Characters>2115</Characters>
  <Lines>0</Lines>
  <Paragraphs>111</Paragraphs>
  <TotalTime>40</TotalTime>
  <ScaleCrop>false</ScaleCrop>
  <LinksUpToDate>false</LinksUpToDate>
  <CharactersWithSpaces>2820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Administrator</cp:lastModifiedBy>
  <cp:lastPrinted>2023-02-06T09:18:00Z</cp:lastPrinted>
  <dcterms:modified xsi:type="dcterms:W3CDTF">2024-05-06T03:47:10Z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CA029D669FE54D82B1DCB433D729E98C_13</vt:lpwstr>
  </property>
</Properties>
</file>