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CC8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05CD22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3F6097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0D5ED0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EDEDA30" w14:textId="77777777" w:rsidR="00E2335A" w:rsidRDefault="00E2335A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醴陵市民政局</w:t>
      </w:r>
    </w:p>
    <w:p w14:paraId="79F302BD" w14:textId="0E15B2FF" w:rsidR="00E2335A" w:rsidRDefault="00E2335A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</w:t>
      </w:r>
      <w:r>
        <w:rPr>
          <w:rFonts w:eastAsia="方正小标宋简体"/>
          <w:bCs/>
          <w:sz w:val="84"/>
          <w:szCs w:val="84"/>
        </w:rPr>
        <w:t>部门预算</w:t>
      </w:r>
    </w:p>
    <w:p w14:paraId="7ABCF47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楷体_GB2312"/>
          <w:bCs/>
          <w:sz w:val="32"/>
          <w:szCs w:val="32"/>
        </w:rPr>
      </w:pPr>
    </w:p>
    <w:p w14:paraId="3DFBA61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A1F9BF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9B03EB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96375A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7A5933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60C542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205537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5F699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461FD8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E48D93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BC13E3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F7D734B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ABCC28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67EF34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6F46F26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0FCD776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586AE0D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174189C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48505F8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4E6E9B8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0450AAA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25AFE67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6829519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142C49C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0217200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4C35548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34F7EB8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26126A0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B7AC1A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1F62CF4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2CB57F9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49ECF70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22CCED2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AB3D54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500AD1C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4A1E7AD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0E5C334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0227C6B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4B00375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6258206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9DF324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298D67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2C6852B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39394AB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65F4E07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7E55259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238F768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1C227A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2078F88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BE252D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1490E41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158BF67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357BFDF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0CABD6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CD1F07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0D03C8D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653CF3B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6E5E86E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3B691F95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AED79A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3611CC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F9952E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80E87F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082E7F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909FBB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F0BA26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C6154D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D0030F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B6264F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8C93D2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B3B51E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DC15A1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DA9078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892BF95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0CC5C3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AFAA6D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CDE449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5F94D2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811F99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4A195B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65FA32B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4A79C75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民政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3CE13B6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7B0E6B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488FBD77" w14:textId="77777777" w:rsidR="00E2335A" w:rsidRDefault="00E2335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市民政局</w:t>
      </w:r>
      <w:r>
        <w:rPr>
          <w:rFonts w:eastAsia="仿宋_GB2312"/>
          <w:sz w:val="32"/>
          <w:szCs w:val="32"/>
        </w:rPr>
        <w:t>贯彻落实党中央关于</w:t>
      </w:r>
      <w:r>
        <w:rPr>
          <w:rFonts w:eastAsia="仿宋_GB2312" w:hAnsi="仿宋_GB2312"/>
          <w:sz w:val="32"/>
          <w:szCs w:val="32"/>
        </w:rPr>
        <w:t>民政</w:t>
      </w:r>
      <w:r>
        <w:rPr>
          <w:rFonts w:eastAsia="仿宋_GB2312"/>
          <w:sz w:val="32"/>
          <w:szCs w:val="32"/>
        </w:rPr>
        <w:t>工作的方针政策和决策部署，全面落实</w:t>
      </w:r>
      <w:r>
        <w:rPr>
          <w:rFonts w:eastAsia="仿宋_GB2312" w:hint="eastAsia"/>
          <w:sz w:val="32"/>
          <w:szCs w:val="32"/>
        </w:rPr>
        <w:t>省委、株洲市委和</w:t>
      </w:r>
      <w:r>
        <w:rPr>
          <w:rFonts w:eastAsia="仿宋_GB2312"/>
          <w:sz w:val="32"/>
          <w:szCs w:val="32"/>
        </w:rPr>
        <w:t>市委关于</w:t>
      </w:r>
      <w:r>
        <w:rPr>
          <w:rFonts w:eastAsia="仿宋_GB2312" w:hAnsi="仿宋_GB2312"/>
          <w:sz w:val="32"/>
          <w:szCs w:val="32"/>
        </w:rPr>
        <w:t>民政</w:t>
      </w:r>
      <w:r>
        <w:rPr>
          <w:rFonts w:eastAsia="仿宋_GB2312"/>
          <w:sz w:val="32"/>
          <w:szCs w:val="32"/>
        </w:rPr>
        <w:t>工作的部署要求，在履行职责过程中坚持和加强党对</w:t>
      </w:r>
      <w:r>
        <w:rPr>
          <w:rFonts w:eastAsia="仿宋_GB2312" w:hAnsi="仿宋_GB2312"/>
          <w:sz w:val="32"/>
          <w:szCs w:val="32"/>
        </w:rPr>
        <w:t>民政</w:t>
      </w:r>
      <w:r>
        <w:rPr>
          <w:rFonts w:eastAsia="仿宋_GB2312"/>
          <w:sz w:val="32"/>
          <w:szCs w:val="32"/>
        </w:rPr>
        <w:t>工作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集中统一领导。主要职责是</w:t>
      </w:r>
      <w:r>
        <w:rPr>
          <w:rFonts w:eastAsia="仿宋_GB2312"/>
          <w:sz w:val="32"/>
          <w:szCs w:val="32"/>
        </w:rPr>
        <w:t>:</w:t>
      </w:r>
    </w:p>
    <w:p w14:paraId="4D6466E8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（一）拟订全市社会救助、行政区划、养老服务、儿童福利、社会事务、慈善事业、社会工作和福利彩票销售等民政事业发展规划并组织实施。</w:t>
      </w:r>
    </w:p>
    <w:p w14:paraId="1FCCA29B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（二）负责城乡居民最低生活保障和临时救助工作；负责城乡社会救助体系建设工作；负责城乡居民低收入家庭信息核查工作；负责残疾人两项补贴的</w:t>
      </w:r>
      <w:r>
        <w:rPr>
          <w:rFonts w:ascii="Times New Roman" w:eastAsia="仿宋_GB2312" w:hAnsi="仿宋_GB2312" w:hint="eastAsia"/>
          <w:sz w:val="32"/>
          <w:szCs w:val="32"/>
        </w:rPr>
        <w:t>审批</w:t>
      </w:r>
      <w:r>
        <w:rPr>
          <w:rFonts w:ascii="Times New Roman" w:eastAsia="仿宋_GB2312" w:hAnsi="仿宋_GB2312"/>
          <w:sz w:val="32"/>
          <w:szCs w:val="32"/>
        </w:rPr>
        <w:t>和资金发放工作；负责农村建档立卡贫困户的兜底保障工作；负责管理和分配中央、省</w:t>
      </w:r>
      <w:r>
        <w:rPr>
          <w:rFonts w:ascii="Times New Roman" w:eastAsia="仿宋_GB2312" w:hAnsi="仿宋_GB2312" w:hint="eastAsia"/>
          <w:sz w:val="32"/>
          <w:szCs w:val="32"/>
        </w:rPr>
        <w:t>和本级</w:t>
      </w:r>
      <w:r>
        <w:rPr>
          <w:rFonts w:ascii="Times New Roman" w:eastAsia="仿宋_GB2312" w:hAnsi="仿宋_GB2312"/>
          <w:sz w:val="32"/>
          <w:szCs w:val="32"/>
        </w:rPr>
        <w:t>下拨的救助保障金。</w:t>
      </w:r>
    </w:p>
    <w:p w14:paraId="0886E35D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（三）负责拟订全市城乡基层群众自治组织建设、社区建设和社区治理相关制度并组织实施；组织指导城乡社区建设和社区治理工作；推动村（居）务公开和基层民主政治建设。</w:t>
      </w:r>
    </w:p>
    <w:p w14:paraId="39CD0C1A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lastRenderedPageBreak/>
        <w:t>（四）依法对全市社会组织进行登记管理和监督，负责公开募捐资格审批和慈善组织认定工作，负责指导社会组织党建工作。</w:t>
      </w:r>
    </w:p>
    <w:p w14:paraId="0A560675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（五）负责推行婚俗和殡葬改革</w:t>
      </w:r>
      <w:r>
        <w:rPr>
          <w:rFonts w:ascii="Times New Roman" w:eastAsia="仿宋_GB2312" w:hAnsi="仿宋_GB2312" w:hint="eastAsia"/>
          <w:sz w:val="32"/>
          <w:szCs w:val="32"/>
        </w:rPr>
        <w:t>工作。</w:t>
      </w:r>
      <w:r>
        <w:rPr>
          <w:rFonts w:ascii="Times New Roman" w:eastAsia="仿宋_GB2312" w:hAnsi="仿宋_GB2312"/>
          <w:sz w:val="32"/>
          <w:szCs w:val="32"/>
        </w:rPr>
        <w:t>指导婚姻、殡葬、收养服务机构管理工作；</w:t>
      </w:r>
      <w:r>
        <w:rPr>
          <w:rFonts w:ascii="Times New Roman" w:eastAsia="仿宋_GB2312" w:hAnsi="仿宋_GB2312" w:hint="eastAsia"/>
          <w:sz w:val="32"/>
          <w:szCs w:val="32"/>
        </w:rPr>
        <w:t>负责</w:t>
      </w:r>
      <w:r>
        <w:rPr>
          <w:rFonts w:ascii="Times New Roman" w:eastAsia="仿宋_GB2312" w:hAnsi="仿宋_GB2312"/>
          <w:sz w:val="32"/>
          <w:szCs w:val="32"/>
        </w:rPr>
        <w:t>全市婚姻登记和收养工作；配合有关部门做好反家庭暴力受害人临时庇护救助工作；负责生活无着落人员救助管理站的建设和指导监督工作。</w:t>
      </w:r>
    </w:p>
    <w:p w14:paraId="21427525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（六）负责制定地名管理办法并组织实施；负责行政区域界线的勘定和管理工作；负责全市法定行政区域界线争议的调查和调处工作；负责地名管理工作；组织建立、管理地名信息资料和档案。</w:t>
      </w:r>
    </w:p>
    <w:p w14:paraId="0D94E097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rPr>
          <w:rStyle w:val="ad"/>
          <w:rFonts w:ascii="Times New Roman" w:eastAsia="仿宋_GB2312"/>
          <w:b w:val="0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（七）统筹推进、督促指导、监督管理全市养老服务工作，</w:t>
      </w:r>
      <w:r>
        <w:rPr>
          <w:rStyle w:val="ad"/>
          <w:rFonts w:ascii="Times New Roman" w:eastAsia="仿宋_GB2312" w:hAnsi="仿宋_GB2312"/>
          <w:b w:val="0"/>
          <w:sz w:val="32"/>
          <w:szCs w:val="32"/>
        </w:rPr>
        <w:t>拟订全市养老服务体系建设规划和标准，承担老年人福利、特殊困难老年人救助工作，指导特困人员供养机构建设与管理工作。</w:t>
      </w:r>
    </w:p>
    <w:p w14:paraId="2378B3A9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732"/>
        <w:rPr>
          <w:rFonts w:ascii="Times New Roman" w:eastAsia="仿宋_GB2312"/>
          <w:bCs/>
          <w:spacing w:val="23"/>
          <w:sz w:val="32"/>
          <w:szCs w:val="32"/>
        </w:rPr>
      </w:pPr>
      <w:r>
        <w:rPr>
          <w:rStyle w:val="ad"/>
          <w:rFonts w:ascii="Times New Roman" w:eastAsia="仿宋_GB2312" w:hAnsi="仿宋_GB2312"/>
          <w:b w:val="0"/>
          <w:spacing w:val="23"/>
          <w:sz w:val="32"/>
          <w:szCs w:val="32"/>
        </w:rPr>
        <w:t>（八）</w:t>
      </w:r>
      <w:r>
        <w:rPr>
          <w:rFonts w:ascii="Times New Roman" w:eastAsia="仿宋_GB2312" w:hAnsi="仿宋_GB2312"/>
          <w:sz w:val="32"/>
          <w:szCs w:val="32"/>
        </w:rPr>
        <w:t>拟订全市儿童福利事业发展规划并监督实施；负责全市儿童收养和孤儿生活保障工作。健全全市农村留守儿童关爱服务体系和困境儿童保障制度，指导全市儿童福利机构和农村留守儿童、困境儿童关爱保护服务机构建设和管理工作。</w:t>
      </w:r>
    </w:p>
    <w:p w14:paraId="689113B6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lastRenderedPageBreak/>
        <w:t>（九）组织指导全市福利彩票销售工作；负责本级福利彩票公益金的管理和使用。</w:t>
      </w:r>
    </w:p>
    <w:p w14:paraId="20AE2B99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pacing w:val="-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（十）</w:t>
      </w:r>
      <w:r>
        <w:rPr>
          <w:rFonts w:ascii="Times New Roman" w:eastAsia="仿宋_GB2312" w:hAnsi="仿宋_GB2312"/>
          <w:spacing w:val="-2"/>
          <w:sz w:val="32"/>
          <w:szCs w:val="32"/>
        </w:rPr>
        <w:t>拟订全市慈善事业促进和社会工作发展规划并组织实施，组织指导社会捐助工作；负责全市社会工作人才队伍建设和相关志愿者队伍建设；负责指导和管理政府购买社会组织服务工作。</w:t>
      </w:r>
    </w:p>
    <w:p w14:paraId="54CB576F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 w:hAnsi="仿宋_GB2312" w:hint="eastAsia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（十一）负责指导全市革命老根据地的经济开发工作；负责监督全市革命老根据地开发资金的使用情况。</w:t>
      </w:r>
    </w:p>
    <w:p w14:paraId="17E628C6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（十二）负责全市民政事业经费和国有资产的管理工作；监督全市民政事业经费的管理使用；负责民政统计工作。</w:t>
      </w:r>
    </w:p>
    <w:p w14:paraId="73B6F989" w14:textId="77777777" w:rsidR="00E2335A" w:rsidRDefault="00E2335A">
      <w:pPr>
        <w:pStyle w:val="ac"/>
        <w:adjustRightInd w:val="0"/>
        <w:snapToGrid w:val="0"/>
        <w:spacing w:beforeAutospacing="0" w:afterAutospacing="0" w:line="630" w:lineRule="exact"/>
        <w:ind w:firstLineChars="200" w:firstLine="640"/>
        <w:contextualSpacing/>
        <w:rPr>
          <w:rFonts w:ascii="Times New Roman" w:eastAsia="仿宋_GB2312" w:hAnsi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（十三）完成市委</w:t>
      </w:r>
      <w:r>
        <w:rPr>
          <w:rFonts w:ascii="Times New Roman" w:eastAsia="仿宋_GB2312" w:hAnsi="仿宋_GB2312" w:hint="eastAsia"/>
          <w:sz w:val="32"/>
          <w:szCs w:val="32"/>
        </w:rPr>
        <w:t>和</w:t>
      </w:r>
      <w:r>
        <w:rPr>
          <w:rFonts w:ascii="Times New Roman" w:eastAsia="仿宋_GB2312" w:hAnsi="仿宋_GB2312"/>
          <w:sz w:val="32"/>
          <w:szCs w:val="32"/>
        </w:rPr>
        <w:t>市</w:t>
      </w:r>
      <w:r>
        <w:rPr>
          <w:rFonts w:ascii="Times New Roman" w:eastAsia="仿宋_GB2312" w:hAnsi="仿宋_GB2312" w:hint="eastAsia"/>
          <w:sz w:val="32"/>
          <w:szCs w:val="32"/>
        </w:rPr>
        <w:t>人民</w:t>
      </w:r>
      <w:r>
        <w:rPr>
          <w:rFonts w:ascii="Times New Roman" w:eastAsia="仿宋_GB2312" w:hAnsi="仿宋_GB2312"/>
          <w:sz w:val="32"/>
          <w:szCs w:val="32"/>
        </w:rPr>
        <w:t>政府交办的其他任务。</w:t>
      </w:r>
    </w:p>
    <w:p w14:paraId="4D8FF32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（十四）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市卫生健康局的有关职责分工。市卫生健康局负责拟订应对人口老龄化、医养结合的措施和方法，综合协调、督促指导、组织推进老龄事业发展，承担老年疾病防治、老年人医疗照护、老年人心理健康与关怀服务等老年健康工作。市民政局负责统筹推进、督促指导、监督管理养老服务工作，拟订养老服务体系建设规划和标准并组织实施，承担老年人福利和特殊困难老年人救助工作。</w:t>
      </w:r>
    </w:p>
    <w:p w14:paraId="26701F1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664D1B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FF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eastAsia="仿宋_GB2312" w:hint="eastAsia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人。内设股室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，分别为：办公室、计划财务股、</w:t>
      </w:r>
      <w:r>
        <w:rPr>
          <w:rFonts w:eastAsia="仿宋_GB2312" w:hAnsi="仿宋_GB2312"/>
          <w:sz w:val="32"/>
          <w:szCs w:val="32"/>
        </w:rPr>
        <w:t>法规股（行政审批股、社</w:t>
      </w:r>
      <w:r>
        <w:rPr>
          <w:rFonts w:eastAsia="仿宋_GB2312" w:hAnsi="仿宋_GB2312"/>
          <w:sz w:val="32"/>
          <w:szCs w:val="32"/>
        </w:rPr>
        <w:lastRenderedPageBreak/>
        <w:t>会事务股）</w:t>
      </w:r>
      <w:r>
        <w:rPr>
          <w:rFonts w:eastAsia="仿宋_GB2312" w:hAnsi="仿宋_GB2312" w:hint="eastAsia"/>
          <w:sz w:val="32"/>
          <w:szCs w:val="32"/>
        </w:rPr>
        <w:t>、</w:t>
      </w:r>
      <w:r>
        <w:rPr>
          <w:rFonts w:eastAsia="仿宋_GB2312" w:hAnsi="仿宋_GB2312"/>
          <w:sz w:val="32"/>
          <w:szCs w:val="32"/>
        </w:rPr>
        <w:t>社会救助股</w:t>
      </w:r>
      <w:r>
        <w:rPr>
          <w:rFonts w:eastAsia="仿宋_GB2312" w:hAnsi="仿宋_GB2312" w:hint="eastAsia"/>
          <w:sz w:val="32"/>
          <w:szCs w:val="32"/>
        </w:rPr>
        <w:t>、</w:t>
      </w:r>
      <w:r>
        <w:rPr>
          <w:rFonts w:eastAsia="仿宋_GB2312" w:hAnsi="仿宋_GB2312"/>
          <w:sz w:val="32"/>
          <w:szCs w:val="32"/>
        </w:rPr>
        <w:t>社会组织管理股（慈善事业促进和社会工作股）</w:t>
      </w:r>
      <w:r>
        <w:rPr>
          <w:rFonts w:eastAsia="仿宋_GB2312" w:hAnsi="仿宋_GB2312" w:hint="eastAsia"/>
          <w:sz w:val="32"/>
          <w:szCs w:val="32"/>
        </w:rPr>
        <w:t>、</w:t>
      </w:r>
      <w:r>
        <w:rPr>
          <w:rFonts w:eastAsia="仿宋_GB2312" w:hAnsi="仿宋_GB2312"/>
          <w:sz w:val="32"/>
          <w:szCs w:val="32"/>
        </w:rPr>
        <w:t>养老服务股（儿童福利股）</w:t>
      </w:r>
      <w:r>
        <w:rPr>
          <w:rFonts w:eastAsia="仿宋_GB2312" w:hAnsi="仿宋_GB2312" w:hint="eastAsia"/>
          <w:sz w:val="32"/>
          <w:szCs w:val="32"/>
        </w:rPr>
        <w:t>、</w:t>
      </w:r>
      <w:r>
        <w:rPr>
          <w:rFonts w:eastAsia="仿宋_GB2312" w:hAnsi="仿宋_GB2312"/>
          <w:sz w:val="32"/>
          <w:szCs w:val="32"/>
        </w:rPr>
        <w:t>基层政权和社区治理股（区划地名股）</w:t>
      </w:r>
      <w:r>
        <w:rPr>
          <w:rFonts w:eastAsia="仿宋_GB2312" w:hAnsi="仿宋_GB2312" w:hint="eastAsia"/>
          <w:sz w:val="32"/>
          <w:szCs w:val="32"/>
        </w:rPr>
        <w:t>。</w:t>
      </w:r>
    </w:p>
    <w:p w14:paraId="54CDA9E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本部门包含下属二级预算单位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个，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个</w:t>
      </w:r>
      <w:r>
        <w:rPr>
          <w:rFonts w:eastAsia="仿宋_GB2312"/>
          <w:color w:val="000000"/>
          <w:sz w:val="32"/>
          <w:szCs w:val="32"/>
        </w:rPr>
        <w:t>公益一类事业单位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个公益二类事业单位</w:t>
      </w:r>
      <w:r>
        <w:rPr>
          <w:rFonts w:eastAsia="仿宋_GB2312"/>
          <w:color w:val="000000"/>
          <w:sz w:val="32"/>
          <w:szCs w:val="32"/>
        </w:rPr>
        <w:t>，共有编制人数</w:t>
      </w:r>
      <w:r>
        <w:rPr>
          <w:rFonts w:eastAsia="仿宋_GB2312" w:hint="eastAsia"/>
          <w:color w:val="000000"/>
          <w:sz w:val="32"/>
          <w:szCs w:val="32"/>
        </w:rPr>
        <w:t>29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人。内设科室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eastAsia="仿宋_GB2312" w:hint="eastAsia"/>
          <w:sz w:val="32"/>
          <w:szCs w:val="32"/>
        </w:rPr>
        <w:t>醴陵市社会福利中心、醴陵市救助管理站和醴陵市殡仪馆。</w:t>
      </w:r>
    </w:p>
    <w:p w14:paraId="70FBCFA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0759C6C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纳入本部门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年部门预算编制范围的二级预算单位包括</w:t>
      </w:r>
      <w:r>
        <w:rPr>
          <w:rFonts w:eastAsia="仿宋_GB2312" w:hint="eastAsia"/>
          <w:sz w:val="32"/>
          <w:szCs w:val="32"/>
        </w:rPr>
        <w:t>：</w:t>
      </w:r>
    </w:p>
    <w:p w14:paraId="1A2BB86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醴陵市民政局机关</w:t>
      </w:r>
    </w:p>
    <w:p w14:paraId="1A4E27C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醴陵市社会福利中心</w:t>
      </w:r>
    </w:p>
    <w:p w14:paraId="4358C76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醴陵市救助管理站</w:t>
      </w:r>
    </w:p>
    <w:p w14:paraId="3FE6602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醴陵市殡仪馆</w:t>
      </w:r>
    </w:p>
    <w:p w14:paraId="0404B38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436834A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民政</w:t>
      </w:r>
      <w:r>
        <w:rPr>
          <w:rFonts w:eastAsia="仿宋_GB2312"/>
          <w:sz w:val="32"/>
          <w:szCs w:val="32"/>
        </w:rPr>
        <w:t>局公开的部门预算为局机关</w:t>
      </w:r>
      <w:r>
        <w:rPr>
          <w:rFonts w:eastAsia="仿宋_GB2312" w:hint="eastAsia"/>
          <w:sz w:val="32"/>
          <w:szCs w:val="32"/>
        </w:rPr>
        <w:t>，不包括</w:t>
      </w:r>
      <w:r>
        <w:rPr>
          <w:rFonts w:eastAsia="仿宋_GB2312"/>
          <w:sz w:val="32"/>
          <w:szCs w:val="32"/>
        </w:rPr>
        <w:t>所属二级预算单位预算。收入包括一般公共预算收入、纳入财政专户管理的非税收入拨款收入、上级财政补助等收入；支出既包括保障局机关及直属单位基本运行的经费，也包括归口管理、面向全市分配的专项经费</w:t>
      </w:r>
      <w:r>
        <w:rPr>
          <w:rFonts w:eastAsia="仿宋_GB2312" w:hint="eastAsia"/>
          <w:sz w:val="32"/>
          <w:szCs w:val="32"/>
        </w:rPr>
        <w:t>。</w:t>
      </w:r>
    </w:p>
    <w:p w14:paraId="0FB9F3F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21809.76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54</w:t>
      </w:r>
      <w:r>
        <w:rPr>
          <w:rFonts w:eastAsia="仿宋_GB2312" w:hint="eastAsia"/>
          <w:sz w:val="32"/>
          <w:szCs w:val="32"/>
        </w:rPr>
        <w:t>01.19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250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16408.57</w:t>
      </w:r>
      <w:r>
        <w:rPr>
          <w:rFonts w:eastAsia="仿宋_GB2312"/>
          <w:sz w:val="32"/>
          <w:szCs w:val="32"/>
        </w:rPr>
        <w:t>万元。因上年结转数暂未</w:t>
      </w:r>
      <w:r>
        <w:rPr>
          <w:rFonts w:eastAsia="仿宋_GB2312"/>
          <w:sz w:val="32"/>
          <w:szCs w:val="32"/>
        </w:rPr>
        <w:lastRenderedPageBreak/>
        <w:t>最终确定，本年度收支预算中均不含上年结转数字。</w:t>
      </w:r>
    </w:p>
    <w:p w14:paraId="6BD13520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21809.76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基本支出</w:t>
      </w:r>
      <w:r>
        <w:rPr>
          <w:rFonts w:eastAsia="仿宋_GB2312" w:hint="eastAsia"/>
          <w:sz w:val="32"/>
          <w:szCs w:val="32"/>
        </w:rPr>
        <w:t>411.28</w:t>
      </w:r>
      <w:r>
        <w:rPr>
          <w:rFonts w:eastAsia="仿宋_GB2312" w:hint="eastAsia"/>
          <w:sz w:val="32"/>
          <w:szCs w:val="32"/>
        </w:rPr>
        <w:t>万元、项目支出</w:t>
      </w:r>
      <w:r>
        <w:rPr>
          <w:rFonts w:eastAsia="仿宋_GB2312" w:hint="eastAsia"/>
          <w:sz w:val="32"/>
          <w:szCs w:val="32"/>
        </w:rPr>
        <w:t>21398.48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53F00A2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411.28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139.87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70.27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66.6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社会保障缴费</w:t>
      </w:r>
      <w:r>
        <w:rPr>
          <w:rFonts w:eastAsia="仿宋_GB2312" w:hint="eastAsia"/>
          <w:color w:val="000000"/>
          <w:sz w:val="32"/>
          <w:szCs w:val="32"/>
        </w:rPr>
        <w:t>56.87</w:t>
      </w:r>
      <w:r>
        <w:rPr>
          <w:rFonts w:eastAsia="仿宋_GB2312" w:hint="eastAsia"/>
          <w:color w:val="000000"/>
          <w:sz w:val="32"/>
          <w:szCs w:val="32"/>
        </w:rPr>
        <w:t>万元、住房公积金</w:t>
      </w:r>
      <w:r>
        <w:rPr>
          <w:rFonts w:eastAsia="仿宋_GB2312" w:hint="eastAsia"/>
          <w:color w:val="000000"/>
          <w:sz w:val="32"/>
          <w:szCs w:val="32"/>
        </w:rPr>
        <w:t>38.06</w:t>
      </w:r>
      <w:r>
        <w:rPr>
          <w:rFonts w:eastAsia="仿宋_GB2312" w:hint="eastAsia"/>
          <w:color w:val="000000"/>
          <w:sz w:val="32"/>
          <w:szCs w:val="32"/>
        </w:rPr>
        <w:t>万元、对个人和家庭的补助</w:t>
      </w:r>
      <w:r>
        <w:rPr>
          <w:rFonts w:eastAsia="仿宋_GB2312" w:hint="eastAsia"/>
          <w:color w:val="000000"/>
          <w:sz w:val="32"/>
          <w:szCs w:val="32"/>
        </w:rPr>
        <w:t>2.63</w:t>
      </w:r>
      <w:r>
        <w:rPr>
          <w:rFonts w:eastAsia="仿宋_GB2312" w:hint="eastAsia"/>
          <w:color w:val="000000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eastAsia="仿宋_GB2312" w:hint="eastAsia"/>
          <w:color w:val="000000"/>
          <w:sz w:val="32"/>
          <w:szCs w:val="32"/>
        </w:rPr>
        <w:t>36.98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3AC1776B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21398.48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2B0F1F23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残疾人两项补贴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1782.91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对全市享受最低生活保障的困难残疾人发放生活补贴，对重度残疾对象发放护理补贴。</w:t>
      </w:r>
    </w:p>
    <w:p w14:paraId="7E2A3E5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精简退职老弱残救济专项</w:t>
      </w:r>
      <w:r>
        <w:rPr>
          <w:rFonts w:eastAsia="仿宋_GB2312" w:hint="eastAsia"/>
          <w:color w:val="000000"/>
          <w:sz w:val="32"/>
          <w:szCs w:val="32"/>
        </w:rPr>
        <w:t>16.68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对六十年代精简退职老职工生活救助支出。</w:t>
      </w:r>
    </w:p>
    <w:p w14:paraId="35A61AB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）敬老院运转经费专项</w:t>
      </w:r>
      <w:r>
        <w:rPr>
          <w:rFonts w:eastAsia="仿宋_GB2312" w:hint="eastAsia"/>
          <w:color w:val="000000"/>
          <w:sz w:val="32"/>
          <w:szCs w:val="32"/>
        </w:rPr>
        <w:t>261</w:t>
      </w:r>
      <w:r>
        <w:rPr>
          <w:rFonts w:eastAsia="仿宋_GB2312" w:hint="eastAsia"/>
          <w:color w:val="000000"/>
          <w:sz w:val="32"/>
          <w:szCs w:val="32"/>
        </w:rPr>
        <w:t>万元，主要用于农村敬老院运转费用。</w:t>
      </w:r>
    </w:p>
    <w:p w14:paraId="405AF40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）居家养老服务补贴专项</w:t>
      </w:r>
      <w:r>
        <w:rPr>
          <w:rFonts w:eastAsia="仿宋_GB2312" w:hint="eastAsia"/>
          <w:color w:val="000000"/>
          <w:sz w:val="32"/>
          <w:szCs w:val="32"/>
        </w:rPr>
        <w:t>50</w:t>
      </w:r>
      <w:r>
        <w:rPr>
          <w:rFonts w:eastAsia="仿宋_GB2312" w:hint="eastAsia"/>
          <w:color w:val="000000"/>
          <w:sz w:val="32"/>
          <w:szCs w:val="32"/>
        </w:rPr>
        <w:t>万元，主要用于困难老年人居家养老服务补贴。</w:t>
      </w:r>
    </w:p>
    <w:p w14:paraId="7C4FC64B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）困难群众生活救助专项</w:t>
      </w:r>
      <w:r>
        <w:rPr>
          <w:rFonts w:eastAsia="仿宋_GB2312" w:hint="eastAsia"/>
          <w:color w:val="000000"/>
          <w:sz w:val="32"/>
          <w:szCs w:val="32"/>
        </w:rPr>
        <w:t>16758</w:t>
      </w:r>
      <w:r>
        <w:rPr>
          <w:rFonts w:eastAsia="仿宋_GB2312" w:hint="eastAsia"/>
          <w:color w:val="000000"/>
          <w:sz w:val="32"/>
          <w:szCs w:val="32"/>
        </w:rPr>
        <w:t>万元，主要用于城乡最低生活保障支出、特困人员供养保障支出、孤儿及事实无人抚养儿童生活保障支出、流浪乞讨人员救助支出、临时救助支出等。</w:t>
      </w:r>
    </w:p>
    <w:p w14:paraId="1B7715B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）养老机构建设补贴专项</w:t>
      </w:r>
      <w:r>
        <w:rPr>
          <w:rFonts w:eastAsia="仿宋_GB2312" w:hint="eastAsia"/>
          <w:color w:val="000000"/>
          <w:sz w:val="32"/>
          <w:szCs w:val="32"/>
        </w:rPr>
        <w:t>100</w:t>
      </w:r>
      <w:r>
        <w:rPr>
          <w:rFonts w:eastAsia="仿宋_GB2312" w:hint="eastAsia"/>
          <w:color w:val="000000"/>
          <w:sz w:val="32"/>
          <w:szCs w:val="32"/>
        </w:rPr>
        <w:t>万元，主要用于对养老机构建设补贴。</w:t>
      </w:r>
    </w:p>
    <w:p w14:paraId="4289120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）民政事业经费专项</w:t>
      </w:r>
      <w:r>
        <w:rPr>
          <w:rFonts w:eastAsia="仿宋_GB2312" w:hint="eastAsia"/>
          <w:color w:val="000000"/>
          <w:sz w:val="32"/>
          <w:szCs w:val="32"/>
        </w:rPr>
        <w:t>250</w:t>
      </w:r>
      <w:r>
        <w:rPr>
          <w:rFonts w:eastAsia="仿宋_GB2312" w:hint="eastAsia"/>
          <w:color w:val="000000"/>
          <w:sz w:val="32"/>
          <w:szCs w:val="32"/>
        </w:rPr>
        <w:t>万元，主要用于对全市民政事业的管理支出。</w:t>
      </w:r>
    </w:p>
    <w:p w14:paraId="1F857CB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）特困人员照料护理费专项</w:t>
      </w:r>
      <w:r>
        <w:rPr>
          <w:rFonts w:eastAsia="仿宋_GB2312" w:hint="eastAsia"/>
          <w:color w:val="000000"/>
          <w:sz w:val="32"/>
          <w:szCs w:val="32"/>
        </w:rPr>
        <w:t>1546.53</w:t>
      </w:r>
      <w:r>
        <w:rPr>
          <w:rFonts w:eastAsia="仿宋_GB2312" w:hint="eastAsia"/>
          <w:color w:val="000000"/>
          <w:sz w:val="32"/>
          <w:szCs w:val="32"/>
        </w:rPr>
        <w:t>万元，主要用于对全市特困供养失能、半失能人员照料护理费用支出。</w:t>
      </w:r>
    </w:p>
    <w:p w14:paraId="5F0F7BEF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）八十岁困难老人、九十岁及百岁老人高龄补贴专项</w:t>
      </w:r>
      <w:r>
        <w:rPr>
          <w:rFonts w:eastAsia="仿宋_GB2312" w:hint="eastAsia"/>
          <w:color w:val="000000"/>
          <w:sz w:val="32"/>
          <w:szCs w:val="32"/>
        </w:rPr>
        <w:t>482.44</w:t>
      </w:r>
      <w:r>
        <w:rPr>
          <w:rFonts w:eastAsia="仿宋_GB2312" w:hint="eastAsia"/>
          <w:color w:val="000000"/>
          <w:sz w:val="32"/>
          <w:szCs w:val="32"/>
        </w:rPr>
        <w:t>万元，主要用于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主要用于对全市</w:t>
      </w:r>
      <w:r>
        <w:rPr>
          <w:rFonts w:ascii="仿宋_GB2312" w:eastAsia="仿宋_GB2312" w:hAnsi="仿宋_GB2312" w:cs="仿宋_GB2312" w:hint="eastAsia"/>
          <w:sz w:val="32"/>
          <w:szCs w:val="32"/>
        </w:rPr>
        <w:t>80-89</w:t>
      </w:r>
      <w:r>
        <w:rPr>
          <w:rFonts w:ascii="仿宋_GB2312" w:eastAsia="仿宋_GB2312" w:hAnsi="仿宋_GB2312" w:cs="仿宋_GB2312" w:hint="eastAsia"/>
          <w:sz w:val="32"/>
          <w:szCs w:val="32"/>
        </w:rPr>
        <w:t>岁困难老人每月发放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元高龄补贴、</w:t>
      </w:r>
      <w:r>
        <w:rPr>
          <w:rFonts w:ascii="仿宋_GB2312" w:eastAsia="仿宋_GB2312" w:hAnsi="仿宋_GB2312" w:cs="仿宋_GB2312" w:hint="eastAsia"/>
          <w:sz w:val="32"/>
          <w:szCs w:val="32"/>
        </w:rPr>
        <w:t>90-99</w:t>
      </w:r>
      <w:r>
        <w:rPr>
          <w:rFonts w:ascii="仿宋_GB2312" w:eastAsia="仿宋_GB2312" w:hAnsi="仿宋_GB2312" w:cs="仿宋_GB2312" w:hint="eastAsia"/>
          <w:sz w:val="32"/>
          <w:szCs w:val="32"/>
        </w:rPr>
        <w:t>岁高龄老人每月发放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元高龄补贴，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周岁以上老人每年发放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6400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元高龄补贴。</w:t>
      </w:r>
    </w:p>
    <w:p w14:paraId="701263C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未成年人保护工作经费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万元，主要用于对全市未成年人保护方面的相关支出。</w:t>
      </w:r>
    </w:p>
    <w:p w14:paraId="0C8AAEF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11</w:t>
      </w:r>
      <w:r>
        <w:rPr>
          <w:rFonts w:eastAsia="仿宋_GB2312" w:hint="eastAsia"/>
          <w:color w:val="000000"/>
          <w:sz w:val="32"/>
          <w:szCs w:val="32"/>
        </w:rPr>
        <w:t>）孤儿助学经费专项</w:t>
      </w:r>
      <w:r>
        <w:rPr>
          <w:rFonts w:eastAsia="仿宋_GB2312" w:hint="eastAsia"/>
          <w:color w:val="000000"/>
          <w:sz w:val="32"/>
          <w:szCs w:val="32"/>
        </w:rPr>
        <w:t>27</w:t>
      </w:r>
      <w:r>
        <w:rPr>
          <w:rFonts w:eastAsia="仿宋_GB2312" w:hint="eastAsia"/>
          <w:color w:val="000000"/>
          <w:sz w:val="32"/>
          <w:szCs w:val="32"/>
        </w:rPr>
        <w:t>万，主要用于“福彩圆梦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孤儿助学”项目支出。</w:t>
      </w:r>
    </w:p>
    <w:p w14:paraId="3F674CAA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21809.76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1101.36</w:t>
      </w:r>
      <w:r>
        <w:rPr>
          <w:rFonts w:eastAsia="仿宋_GB2312"/>
          <w:sz w:val="32"/>
          <w:szCs w:val="32"/>
        </w:rPr>
        <w:t>万元，主要原因是</w:t>
      </w:r>
      <w:r>
        <w:rPr>
          <w:rFonts w:eastAsia="仿宋_GB2312" w:hint="eastAsia"/>
          <w:color w:val="000000"/>
          <w:sz w:val="32"/>
          <w:szCs w:val="32"/>
        </w:rPr>
        <w:t>特困人员照料护理费的增加</w:t>
      </w:r>
      <w:r>
        <w:rPr>
          <w:rFonts w:eastAsia="仿宋_GB2312" w:hint="eastAsia"/>
          <w:sz w:val="32"/>
          <w:szCs w:val="32"/>
        </w:rPr>
        <w:t>。</w:t>
      </w:r>
    </w:p>
    <w:p w14:paraId="78F4F72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68BAE53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21809.76</w:t>
      </w:r>
      <w:r>
        <w:rPr>
          <w:rFonts w:eastAsia="仿宋_GB2312"/>
          <w:sz w:val="32"/>
          <w:szCs w:val="32"/>
        </w:rPr>
        <w:t>万元，具体安排如下：</w:t>
      </w:r>
    </w:p>
    <w:p w14:paraId="64F7680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025EF5F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371.67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139.87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70.27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66.6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、养老保险支出</w:t>
      </w:r>
      <w:r>
        <w:rPr>
          <w:rFonts w:eastAsia="仿宋_GB2312" w:hint="eastAsia"/>
          <w:sz w:val="32"/>
          <w:szCs w:val="32"/>
        </w:rPr>
        <w:t>44.28</w:t>
      </w:r>
      <w:r>
        <w:rPr>
          <w:rFonts w:eastAsia="仿宋_GB2312" w:hint="eastAsia"/>
          <w:sz w:val="32"/>
          <w:szCs w:val="32"/>
        </w:rPr>
        <w:t>万元、卫生健康支出</w:t>
      </w:r>
      <w:r>
        <w:rPr>
          <w:rFonts w:eastAsia="仿宋_GB2312" w:hint="eastAsia"/>
          <w:sz w:val="32"/>
          <w:szCs w:val="32"/>
        </w:rPr>
        <w:t>12.59</w:t>
      </w:r>
      <w:r>
        <w:rPr>
          <w:rFonts w:eastAsia="仿宋_GB2312" w:hint="eastAsia"/>
          <w:sz w:val="32"/>
          <w:szCs w:val="32"/>
        </w:rPr>
        <w:t>万元、住房保障支出</w:t>
      </w:r>
      <w:r>
        <w:rPr>
          <w:rFonts w:eastAsia="仿宋_GB2312" w:hint="eastAsia"/>
          <w:sz w:val="32"/>
          <w:szCs w:val="32"/>
        </w:rPr>
        <w:t>38.06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等。</w:t>
      </w:r>
    </w:p>
    <w:p w14:paraId="100DDBC5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39.61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color w:val="000000"/>
          <w:sz w:val="32"/>
          <w:szCs w:val="32"/>
        </w:rPr>
        <w:t>对个人和家庭的补助</w:t>
      </w:r>
      <w:r>
        <w:rPr>
          <w:rFonts w:eastAsia="仿宋_GB2312" w:hint="eastAsia"/>
          <w:color w:val="000000"/>
          <w:sz w:val="32"/>
          <w:szCs w:val="32"/>
        </w:rPr>
        <w:t>2.63</w:t>
      </w:r>
      <w:r>
        <w:rPr>
          <w:rFonts w:eastAsia="仿宋_GB2312" w:hint="eastAsia"/>
          <w:color w:val="000000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eastAsia="仿宋_GB2312" w:hint="eastAsia"/>
          <w:color w:val="000000"/>
          <w:sz w:val="32"/>
          <w:szCs w:val="32"/>
        </w:rPr>
        <w:t>36.98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7EB4D76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7AB87C2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113.92</w:t>
      </w:r>
      <w:r>
        <w:rPr>
          <w:rFonts w:eastAsia="仿宋_GB2312" w:hint="eastAsia"/>
          <w:sz w:val="32"/>
          <w:szCs w:val="32"/>
        </w:rPr>
        <w:t>万元。</w:t>
      </w:r>
    </w:p>
    <w:p w14:paraId="1280008C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  <w:r>
        <w:rPr>
          <w:rFonts w:eastAsia="仿宋_GB2312" w:hint="eastAsia"/>
          <w:sz w:val="32"/>
          <w:szCs w:val="32"/>
        </w:rPr>
        <w:t>21398.48</w:t>
      </w:r>
    </w:p>
    <w:p w14:paraId="53A1B1A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残疾人两项补贴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1782.91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对全市享受最低生活保障的困难残疾人发放生活补贴，对重度残疾对象发放护理补贴。</w:t>
      </w:r>
    </w:p>
    <w:p w14:paraId="7D28653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精简退职老弱残救济专项</w:t>
      </w:r>
      <w:r>
        <w:rPr>
          <w:rFonts w:eastAsia="仿宋_GB2312" w:hint="eastAsia"/>
          <w:color w:val="000000"/>
          <w:sz w:val="32"/>
          <w:szCs w:val="32"/>
        </w:rPr>
        <w:t>16.68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对六十年代精简退职老职工生活救助支出。</w:t>
      </w:r>
    </w:p>
    <w:p w14:paraId="11C01F9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）敬老院运转经费专项</w:t>
      </w:r>
      <w:r>
        <w:rPr>
          <w:rFonts w:eastAsia="仿宋_GB2312" w:hint="eastAsia"/>
          <w:color w:val="000000"/>
          <w:sz w:val="32"/>
          <w:szCs w:val="32"/>
        </w:rPr>
        <w:t>261</w:t>
      </w:r>
      <w:r>
        <w:rPr>
          <w:rFonts w:eastAsia="仿宋_GB2312" w:hint="eastAsia"/>
          <w:color w:val="000000"/>
          <w:sz w:val="32"/>
          <w:szCs w:val="32"/>
        </w:rPr>
        <w:t>万元，主要用于农村敬老院运转费用。</w:t>
      </w:r>
    </w:p>
    <w:p w14:paraId="12889C4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）居家养老服务补贴专项</w:t>
      </w:r>
      <w:r>
        <w:rPr>
          <w:rFonts w:eastAsia="仿宋_GB2312" w:hint="eastAsia"/>
          <w:color w:val="000000"/>
          <w:sz w:val="32"/>
          <w:szCs w:val="32"/>
        </w:rPr>
        <w:t>50</w:t>
      </w:r>
      <w:r>
        <w:rPr>
          <w:rFonts w:eastAsia="仿宋_GB2312" w:hint="eastAsia"/>
          <w:color w:val="000000"/>
          <w:sz w:val="32"/>
          <w:szCs w:val="32"/>
        </w:rPr>
        <w:t>万元，主要用于困难老年人居家养老服务补贴。</w:t>
      </w:r>
    </w:p>
    <w:p w14:paraId="1DE02105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）困难群众生活救助专项</w:t>
      </w:r>
      <w:r>
        <w:rPr>
          <w:rFonts w:eastAsia="仿宋_GB2312" w:hint="eastAsia"/>
          <w:color w:val="000000"/>
          <w:sz w:val="32"/>
          <w:szCs w:val="32"/>
        </w:rPr>
        <w:t>16758</w:t>
      </w:r>
      <w:r>
        <w:rPr>
          <w:rFonts w:eastAsia="仿宋_GB2312" w:hint="eastAsia"/>
          <w:color w:val="000000"/>
          <w:sz w:val="32"/>
          <w:szCs w:val="32"/>
        </w:rPr>
        <w:t>万元，主要用于城乡最</w:t>
      </w:r>
      <w:r>
        <w:rPr>
          <w:rFonts w:eastAsia="仿宋_GB2312" w:hint="eastAsia"/>
          <w:color w:val="000000"/>
          <w:sz w:val="32"/>
          <w:szCs w:val="32"/>
        </w:rPr>
        <w:lastRenderedPageBreak/>
        <w:t>低生活保障支出、特困人员供养保障支出、孤儿及事实无人抚养儿童生活保障支出、流浪乞讨人员救助支出、临时救助支出等。</w:t>
      </w:r>
    </w:p>
    <w:p w14:paraId="3A5F6C6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）养老机构建设补贴专项</w:t>
      </w:r>
      <w:r>
        <w:rPr>
          <w:rFonts w:eastAsia="仿宋_GB2312" w:hint="eastAsia"/>
          <w:color w:val="000000"/>
          <w:sz w:val="32"/>
          <w:szCs w:val="32"/>
        </w:rPr>
        <w:t>100</w:t>
      </w:r>
      <w:r>
        <w:rPr>
          <w:rFonts w:eastAsia="仿宋_GB2312" w:hint="eastAsia"/>
          <w:color w:val="000000"/>
          <w:sz w:val="32"/>
          <w:szCs w:val="32"/>
        </w:rPr>
        <w:t>万元，主要用于对养老机构建设补贴。</w:t>
      </w:r>
    </w:p>
    <w:p w14:paraId="79CE45A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）民政事业经费专项</w:t>
      </w:r>
      <w:r>
        <w:rPr>
          <w:rFonts w:eastAsia="仿宋_GB2312" w:hint="eastAsia"/>
          <w:color w:val="000000"/>
          <w:sz w:val="32"/>
          <w:szCs w:val="32"/>
        </w:rPr>
        <w:t>250</w:t>
      </w:r>
      <w:r>
        <w:rPr>
          <w:rFonts w:eastAsia="仿宋_GB2312" w:hint="eastAsia"/>
          <w:color w:val="000000"/>
          <w:sz w:val="32"/>
          <w:szCs w:val="32"/>
        </w:rPr>
        <w:t>万元，主要用于对全市民政事业的管理支出。</w:t>
      </w:r>
    </w:p>
    <w:p w14:paraId="7952947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）特困人员照料护理费专项</w:t>
      </w:r>
      <w:r>
        <w:rPr>
          <w:rFonts w:eastAsia="仿宋_GB2312" w:hint="eastAsia"/>
          <w:color w:val="000000"/>
          <w:sz w:val="32"/>
          <w:szCs w:val="32"/>
        </w:rPr>
        <w:t>1546.53</w:t>
      </w:r>
      <w:r>
        <w:rPr>
          <w:rFonts w:eastAsia="仿宋_GB2312" w:hint="eastAsia"/>
          <w:color w:val="000000"/>
          <w:sz w:val="32"/>
          <w:szCs w:val="32"/>
        </w:rPr>
        <w:t>万元，主要用于对全市特困供养失能、半失能人员照料护理费用支出。</w:t>
      </w:r>
    </w:p>
    <w:p w14:paraId="7015BA98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）八十岁困难老人、九十岁及百岁老人高龄补贴专项</w:t>
      </w:r>
      <w:r>
        <w:rPr>
          <w:rFonts w:eastAsia="仿宋_GB2312" w:hint="eastAsia"/>
          <w:color w:val="000000"/>
          <w:sz w:val="32"/>
          <w:szCs w:val="32"/>
        </w:rPr>
        <w:t>482.44</w:t>
      </w:r>
      <w:r>
        <w:rPr>
          <w:rFonts w:eastAsia="仿宋_GB2312" w:hint="eastAsia"/>
          <w:color w:val="000000"/>
          <w:sz w:val="32"/>
          <w:szCs w:val="32"/>
        </w:rPr>
        <w:t>万元，主要用于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主要用于对全市</w:t>
      </w:r>
      <w:r>
        <w:rPr>
          <w:rFonts w:ascii="仿宋_GB2312" w:eastAsia="仿宋_GB2312" w:hAnsi="仿宋_GB2312" w:cs="仿宋_GB2312" w:hint="eastAsia"/>
          <w:sz w:val="32"/>
          <w:szCs w:val="32"/>
        </w:rPr>
        <w:t>80-89</w:t>
      </w:r>
      <w:r>
        <w:rPr>
          <w:rFonts w:ascii="仿宋_GB2312" w:eastAsia="仿宋_GB2312" w:hAnsi="仿宋_GB2312" w:cs="仿宋_GB2312" w:hint="eastAsia"/>
          <w:sz w:val="32"/>
          <w:szCs w:val="32"/>
        </w:rPr>
        <w:t>岁困难老人每月发放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元高龄补贴、</w:t>
      </w:r>
      <w:r>
        <w:rPr>
          <w:rFonts w:ascii="仿宋_GB2312" w:eastAsia="仿宋_GB2312" w:hAnsi="仿宋_GB2312" w:cs="仿宋_GB2312" w:hint="eastAsia"/>
          <w:sz w:val="32"/>
          <w:szCs w:val="32"/>
        </w:rPr>
        <w:t>90-99</w:t>
      </w:r>
      <w:r>
        <w:rPr>
          <w:rFonts w:ascii="仿宋_GB2312" w:eastAsia="仿宋_GB2312" w:hAnsi="仿宋_GB2312" w:cs="仿宋_GB2312" w:hint="eastAsia"/>
          <w:sz w:val="32"/>
          <w:szCs w:val="32"/>
        </w:rPr>
        <w:t>岁高龄老人每月发放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元高龄补贴，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周岁以上老人每年发放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6400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元高龄补贴。</w:t>
      </w:r>
    </w:p>
    <w:p w14:paraId="0CA449B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未成年人保护工作经费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万元，主要用于对全市未成年人保护方面的相关支出。</w:t>
      </w:r>
    </w:p>
    <w:p w14:paraId="15ABB12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11</w:t>
      </w:r>
      <w:r>
        <w:rPr>
          <w:rFonts w:eastAsia="仿宋_GB2312" w:hint="eastAsia"/>
          <w:color w:val="000000"/>
          <w:sz w:val="32"/>
          <w:szCs w:val="32"/>
        </w:rPr>
        <w:t>）孤儿助学经费专项</w:t>
      </w:r>
      <w:r>
        <w:rPr>
          <w:rFonts w:eastAsia="仿宋_GB2312" w:hint="eastAsia"/>
          <w:color w:val="000000"/>
          <w:sz w:val="32"/>
          <w:szCs w:val="32"/>
        </w:rPr>
        <w:t>27</w:t>
      </w:r>
      <w:r>
        <w:rPr>
          <w:rFonts w:eastAsia="仿宋_GB2312" w:hint="eastAsia"/>
          <w:color w:val="000000"/>
          <w:sz w:val="32"/>
          <w:szCs w:val="32"/>
        </w:rPr>
        <w:t>万，主要用于“福彩圆梦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孤儿助学”项目支出。</w:t>
      </w:r>
    </w:p>
    <w:p w14:paraId="76B78180" w14:textId="77777777" w:rsidR="00E2335A" w:rsidRDefault="00E2335A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78EFFA0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</w:rPr>
        <w:t>。</w:t>
      </w:r>
    </w:p>
    <w:p w14:paraId="295768A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1956E2F4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150.9</w:t>
      </w:r>
      <w:r>
        <w:rPr>
          <w:rFonts w:eastAsia="仿宋_GB2312"/>
          <w:sz w:val="32"/>
          <w:szCs w:val="32"/>
        </w:rPr>
        <w:t>万元，比上年度预算减少</w:t>
      </w:r>
      <w:r>
        <w:rPr>
          <w:rFonts w:eastAsia="仿宋_GB2312" w:hint="eastAsia"/>
          <w:sz w:val="32"/>
          <w:szCs w:val="32"/>
        </w:rPr>
        <w:lastRenderedPageBreak/>
        <w:t>37.28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减少的主要原因是：</w:t>
      </w:r>
      <w:r>
        <w:rPr>
          <w:rFonts w:eastAsia="仿宋_GB2312" w:hint="eastAsia"/>
          <w:bCs/>
          <w:sz w:val="32"/>
          <w:szCs w:val="32"/>
        </w:rPr>
        <w:t>严控支出，厉行节约。</w:t>
      </w:r>
    </w:p>
    <w:p w14:paraId="354D7006" w14:textId="77777777" w:rsidR="00E2335A" w:rsidRDefault="00E233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308.5</w:t>
      </w:r>
      <w:r>
        <w:rPr>
          <w:rFonts w:eastAsia="仿宋_GB2312"/>
          <w:sz w:val="32"/>
          <w:szCs w:val="32"/>
        </w:rPr>
        <w:t>万元。政府采购货物</w:t>
      </w:r>
      <w:r>
        <w:rPr>
          <w:rFonts w:eastAsia="仿宋_GB2312" w:hint="eastAsia"/>
          <w:sz w:val="32"/>
          <w:szCs w:val="32"/>
        </w:rPr>
        <w:t>10.5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eastAsia="仿宋_GB2312" w:hint="eastAsia"/>
          <w:sz w:val="32"/>
          <w:szCs w:val="32"/>
        </w:rPr>
        <w:t>298</w:t>
      </w:r>
      <w:r>
        <w:rPr>
          <w:rFonts w:eastAsia="仿宋_GB2312"/>
          <w:sz w:val="32"/>
          <w:szCs w:val="32"/>
        </w:rPr>
        <w:t>万元。（备注：根据政府采购预算表的采购目录名称，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开头为货物类，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开头为工程类，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/>
          <w:sz w:val="32"/>
          <w:szCs w:val="32"/>
        </w:rPr>
        <w:t>开头为服务类）。</w:t>
      </w:r>
    </w:p>
    <w:p w14:paraId="76CF77A9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10971.5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102E744D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21809.76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411.28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21398.48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613062A5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万元。</w:t>
      </w:r>
    </w:p>
    <w:p w14:paraId="18454862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年增加</w:t>
      </w:r>
      <w:r>
        <w:rPr>
          <w:rFonts w:eastAsia="仿宋_GB2312" w:hint="eastAsia"/>
          <w:sz w:val="32"/>
          <w:szCs w:val="32"/>
        </w:rPr>
        <w:t>0.6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 w:hint="eastAsia"/>
          <w:sz w:val="32"/>
          <w:szCs w:val="32"/>
        </w:rPr>
        <w:t>上级调研次数增加</w:t>
      </w:r>
      <w:r>
        <w:rPr>
          <w:rFonts w:eastAsia="仿宋_GB2312"/>
          <w:sz w:val="32"/>
          <w:szCs w:val="32"/>
        </w:rPr>
        <w:t>。</w:t>
      </w:r>
    </w:p>
    <w:p w14:paraId="34F6956B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2CEFE1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万元，主要是</w:t>
      </w:r>
      <w:r>
        <w:rPr>
          <w:rFonts w:eastAsia="仿宋_GB2312" w:hint="eastAsia"/>
          <w:sz w:val="32"/>
          <w:szCs w:val="32"/>
        </w:rPr>
        <w:t>为安排相关工作而开展的各类会议，预计全年需召开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次。</w:t>
      </w:r>
    </w:p>
    <w:p w14:paraId="09F6987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万元，主要包括</w:t>
      </w:r>
      <w:r>
        <w:rPr>
          <w:rFonts w:eastAsia="仿宋_GB2312" w:hint="eastAsia"/>
          <w:sz w:val="32"/>
          <w:szCs w:val="32"/>
        </w:rPr>
        <w:t>各类民政工作业</w:t>
      </w:r>
      <w:r>
        <w:rPr>
          <w:rFonts w:eastAsia="仿宋_GB2312" w:hint="eastAsia"/>
          <w:sz w:val="32"/>
          <w:szCs w:val="32"/>
        </w:rPr>
        <w:lastRenderedPageBreak/>
        <w:t>务培训，预计全年需安排各项培训约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场次。</w:t>
      </w:r>
    </w:p>
    <w:p w14:paraId="5444CF0C" w14:textId="77777777" w:rsidR="00E2335A" w:rsidRDefault="00E2335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6EC7DED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本单位无门户网站，已在政府网统一公开。本单位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年预算未安排政府性基金收支预算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年预算未安排国有资本经营预算、本单位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年预算未安排财政专户管理资金预算。</w:t>
      </w:r>
    </w:p>
    <w:p w14:paraId="04BBE181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36C6C2CB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022BB0A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125A8E6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7CCD6767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</w:t>
      </w:r>
      <w:r>
        <w:rPr>
          <w:rFonts w:eastAsia="仿宋_GB2312"/>
          <w:sz w:val="32"/>
          <w:szCs w:val="32"/>
        </w:rPr>
        <w:lastRenderedPageBreak/>
        <w:t>应当按照统筹层次和社会保险项目分别编制，做到收支平衡。</w:t>
      </w:r>
    </w:p>
    <w:p w14:paraId="6F04E82E" w14:textId="77777777" w:rsidR="00E2335A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2A4C2007" w14:textId="77777777" w:rsidR="00E6302D" w:rsidRDefault="00E2335A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（行距：固定值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磅）</w:t>
      </w:r>
    </w:p>
    <w:sectPr w:rsidR="00E6302D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8B371" w14:textId="77777777" w:rsidR="00E6302D" w:rsidRDefault="00E6302D">
      <w:r>
        <w:separator/>
      </w:r>
    </w:p>
  </w:endnote>
  <w:endnote w:type="continuationSeparator" w:id="0">
    <w:p w14:paraId="2DD7BB49" w14:textId="77777777" w:rsidR="00E6302D" w:rsidRDefault="00E6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2B3E9" w14:textId="77777777" w:rsidR="00E2335A" w:rsidRDefault="00E2335A">
    <w:pPr>
      <w:pStyle w:val="aa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 xml:space="preserve"> </w:t>
    </w:r>
    <w:r>
      <w:fldChar w:fldCharType="end"/>
    </w:r>
  </w:p>
  <w:p w14:paraId="0E9CBB01" w14:textId="77777777" w:rsidR="00E2335A" w:rsidRDefault="00E2335A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DD4A" w14:textId="77777777" w:rsidR="00E2335A" w:rsidRDefault="00E2335A">
    <w:pPr>
      <w:pStyle w:val="aa"/>
      <w:framePr w:wrap="around" w:vAnchor="text" w:hAnchor="margin" w:xAlign="outside" w:y="1"/>
      <w:rPr>
        <w:rStyle w:val="ae"/>
        <w:rFonts w:ascii="宋体" w:hint="eastAsia"/>
        <w:sz w:val="28"/>
        <w:szCs w:val="28"/>
      </w:rPr>
    </w:pPr>
    <w:r>
      <w:rPr>
        <w:rStyle w:val="ae"/>
        <w:rFonts w:ascii="宋体" w:hint="eastAsia"/>
        <w:color w:val="FFFFFF"/>
        <w:sz w:val="28"/>
        <w:szCs w:val="28"/>
      </w:rPr>
      <w:t>—</w:t>
    </w:r>
    <w:r>
      <w:rPr>
        <w:rStyle w:val="ae"/>
        <w:rFonts w:ascii="宋体" w:hint="eastAsia"/>
        <w:sz w:val="28"/>
        <w:szCs w:val="28"/>
      </w:rPr>
      <w:t>—</w:t>
    </w:r>
    <w:r>
      <w:rPr>
        <w:rStyle w:val="ae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e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e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e"/>
        <w:rFonts w:ascii="宋体" w:hint="eastAsia"/>
        <w:sz w:val="28"/>
        <w:szCs w:val="28"/>
      </w:rPr>
      <w:t xml:space="preserve"> </w:t>
    </w:r>
    <w:r>
      <w:rPr>
        <w:rStyle w:val="ae"/>
        <w:rFonts w:ascii="宋体" w:hint="eastAsia"/>
        <w:sz w:val="28"/>
        <w:szCs w:val="28"/>
      </w:rPr>
      <w:t>—</w:t>
    </w:r>
    <w:r>
      <w:rPr>
        <w:rStyle w:val="ae"/>
        <w:rFonts w:ascii="宋体" w:hint="eastAsia"/>
        <w:color w:val="FFFFFF"/>
        <w:sz w:val="28"/>
        <w:szCs w:val="28"/>
      </w:rPr>
      <w:t>—</w:t>
    </w:r>
  </w:p>
  <w:p w14:paraId="4FD5286A" w14:textId="77777777" w:rsidR="00E2335A" w:rsidRDefault="00E2335A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64D47" w14:textId="77777777" w:rsidR="00E6302D" w:rsidRDefault="00E6302D">
      <w:r>
        <w:separator/>
      </w:r>
    </w:p>
  </w:footnote>
  <w:footnote w:type="continuationSeparator" w:id="0">
    <w:p w14:paraId="6012BC79" w14:textId="77777777" w:rsidR="00E6302D" w:rsidRDefault="00E6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FD43B" w14:textId="77777777" w:rsidR="00E2335A" w:rsidRDefault="00E2335A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AB58"/>
    <w:multiLevelType w:val="singleLevel"/>
    <w:tmpl w:val="2449AB58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320281922">
    <w:abstractNumId w:val="1"/>
  </w:num>
  <w:num w:numId="2" w16cid:durableId="53407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xYjAwODM2ZWEyOTQ1ZTllOGQ3NWMxZGZhNTBlYmQ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20120"/>
    <w:rsid w:val="005534D4"/>
    <w:rsid w:val="005574EF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2335A"/>
    <w:rsid w:val="00E471F8"/>
    <w:rsid w:val="00E526F2"/>
    <w:rsid w:val="00E62B3D"/>
    <w:rsid w:val="00E6302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A4B6AF7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8F2629D"/>
    <w:rsid w:val="5C3F77E0"/>
    <w:rsid w:val="5C4200CE"/>
    <w:rsid w:val="5C79326A"/>
    <w:rsid w:val="5DFB707D"/>
    <w:rsid w:val="612A51A9"/>
    <w:rsid w:val="614B7113"/>
    <w:rsid w:val="680E1037"/>
    <w:rsid w:val="691F2659"/>
    <w:rsid w:val="6AF66E49"/>
    <w:rsid w:val="6DE273CB"/>
    <w:rsid w:val="74824FCD"/>
    <w:rsid w:val="7627167B"/>
    <w:rsid w:val="76E316D1"/>
    <w:rsid w:val="791752BB"/>
    <w:rsid w:val="7A2B024A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81F8780"/>
  <w15:chartTrackingRefBased/>
  <w15:docId w15:val="{DFD7394E-198D-48AA-9B78-81F91D4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next w:val="a"/>
    <w:qFormat/>
    <w:pPr>
      <w:widowControl w:val="0"/>
      <w:ind w:left="2940"/>
      <w:jc w:val="both"/>
    </w:pPr>
    <w:rPr>
      <w:kern w:val="2"/>
      <w:sz w:val="21"/>
    </w:rPr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next w:val="8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5065</Words>
  <Characters>598</Characters>
  <Application>Microsoft Office Word</Application>
  <DocSecurity>0</DocSecurity>
  <Lines>4</Lines>
  <Paragraphs>11</Paragraphs>
  <ScaleCrop>false</ScaleCrop>
  <Company>h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2024-05-08T07:27:00Z</dcterms:created>
  <dcterms:modified xsi:type="dcterms:W3CDTF">2024-05-08T07:27:00Z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ABABDEF7C3EB41668812DADB99CC22D8_13</vt:lpwstr>
  </property>
</Properties>
</file>