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24" w:firstLineChars="202"/>
        <w:jc w:val="center"/>
        <w:rPr>
          <w:rFonts w:ascii="Times New Roman" w:hAnsi="Times New Roman" w:cs="Times New Roman"/>
        </w:rPr>
      </w:pPr>
    </w:p>
    <w:p>
      <w:pPr>
        <w:spacing w:line="560" w:lineRule="exact"/>
        <w:ind w:firstLine="424" w:firstLineChars="202"/>
        <w:jc w:val="center"/>
        <w:rPr>
          <w:rFonts w:ascii="Times New Roman" w:hAnsi="Times New Roman" w:cs="Times New Roman"/>
        </w:rPr>
      </w:pPr>
    </w:p>
    <w:p>
      <w:pPr>
        <w:spacing w:line="560" w:lineRule="exact"/>
        <w:ind w:firstLine="424" w:firstLineChars="202"/>
        <w:jc w:val="cente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ind w:firstLine="424" w:firstLineChars="202"/>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株洲市水利局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kern w:val="0"/>
          <w:sz w:val="44"/>
          <w:szCs w:val="44"/>
        </w:rPr>
      </w:pPr>
      <w:bookmarkStart w:id="0" w:name="_Hlk164266398"/>
      <w:r>
        <w:rPr>
          <w:rFonts w:hint="eastAsia" w:ascii="方正小标宋简体" w:hAnsi="方正小标宋简体" w:eastAsia="方正小标宋简体" w:cs="方正小标宋简体"/>
          <w:bCs/>
          <w:kern w:val="0"/>
          <w:sz w:val="44"/>
          <w:szCs w:val="44"/>
        </w:rPr>
        <w:t>关于开展2024年度全市水利工程招标投标</w:t>
      </w:r>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“双随机、一公开”抽查工作的通知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各县（市）区水利局：</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开展依法必须招投标项目“双随机、一公开”抽查工作，根据《湖南省水利厅办公室关于开展2024年度水利工程招标投标“双随机、一公开”抽查工作的通知》，结合我市水利工作实际，决定开展水利工程建设项目招标投标“双随机、一公开”抽查工作，有关要求通知如下：</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招标投标活动事中事后监管、规范招标投标行为，切实将招投标监管重心从事前备案审批核准向事前事中事后全程监管转移，提升监管主动性和覆盖面，努力营造公平、公正、公开、透明的招标投标市场环境。</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eastAsia" w:ascii="黑体" w:hAnsi="黑体" w:eastAsia="黑体" w:cs="黑体"/>
          <w:sz w:val="32"/>
          <w:szCs w:val="32"/>
        </w:rPr>
      </w:pPr>
      <w:r>
        <w:rPr>
          <w:rFonts w:hint="eastAsia" w:ascii="黑体" w:hAnsi="黑体" w:eastAsia="黑体" w:cs="黑体"/>
          <w:sz w:val="32"/>
          <w:szCs w:val="32"/>
        </w:rPr>
        <w:t>二、检查范围和内容</w:t>
      </w:r>
    </w:p>
    <w:p>
      <w:pPr>
        <w:keepNext w:val="0"/>
        <w:keepLines w:val="0"/>
        <w:pageBreakBefore w:val="0"/>
        <w:widowControl w:val="0"/>
        <w:kinsoku/>
        <w:wordWrap/>
        <w:overflowPunct/>
        <w:topLinePunct w:val="0"/>
        <w:autoSpaceDE/>
        <w:autoSpaceDN/>
        <w:bidi w:val="0"/>
        <w:adjustRightInd/>
        <w:snapToGrid/>
        <w:spacing w:line="600" w:lineRule="exact"/>
        <w:ind w:firstLine="649" w:firstLineChars="202"/>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（一）检查范围</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正在开展招标投标活动和结束招标投标活动不足两年（签订合同为结束时间）的依法必须招标项目。</w:t>
      </w:r>
    </w:p>
    <w:p>
      <w:pPr>
        <w:keepNext w:val="0"/>
        <w:keepLines w:val="0"/>
        <w:pageBreakBefore w:val="0"/>
        <w:widowControl w:val="0"/>
        <w:kinsoku/>
        <w:wordWrap/>
        <w:overflowPunct/>
        <w:topLinePunct w:val="0"/>
        <w:autoSpaceDE/>
        <w:autoSpaceDN/>
        <w:bidi w:val="0"/>
        <w:adjustRightInd/>
        <w:snapToGrid/>
        <w:spacing w:line="600" w:lineRule="exact"/>
        <w:ind w:firstLine="649" w:firstLineChars="202"/>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（二）检查内容</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检查招标投标活动行为主体是否遵守法律、法规和有关管理规定，招标投标活动过程是否符合公开、公平、公正及诚实信用原则，招标结果是否合理、是否实现“择优和竞价”。具体内容包括招标组织及程序、招标文件、投标行为及投标文件、评标委员会组建及评标活动合法合规性，招投标行政监管工作情况，中标人是否按规定签订合同等。具体检查内容、抽查记录表详见（附件1、2）。</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黑体" w:hAnsi="黑体" w:eastAsia="黑体" w:cs="黑体"/>
          <w:sz w:val="32"/>
          <w:szCs w:val="32"/>
        </w:rPr>
      </w:pPr>
      <w:r>
        <w:rPr>
          <w:rFonts w:hint="default" w:ascii="黑体" w:hAnsi="黑体" w:eastAsia="黑体" w:cs="黑体"/>
          <w:sz w:val="32"/>
          <w:szCs w:val="32"/>
        </w:rPr>
        <w:t>三、检查频次和比例</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上每年度开展双随机检查不少于1次，双随机抽查比例不低于检查范围内招标项目的5%，对存在异议、复核（评）、投诉以及项目实施过程中出现过质量安全事故或被监管部门查处的，适当提高抽查比例或频次，加大检查力度。</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黑体" w:hAnsi="黑体" w:eastAsia="黑体" w:cs="黑体"/>
          <w:sz w:val="32"/>
          <w:szCs w:val="32"/>
        </w:rPr>
      </w:pPr>
      <w:r>
        <w:rPr>
          <w:rFonts w:hint="default" w:ascii="黑体" w:hAnsi="黑体" w:eastAsia="黑体" w:cs="黑体"/>
          <w:sz w:val="32"/>
          <w:szCs w:val="32"/>
        </w:rPr>
        <w:t>四、检查程序和方式</w:t>
      </w:r>
    </w:p>
    <w:p>
      <w:pPr>
        <w:keepNext w:val="0"/>
        <w:keepLines w:val="0"/>
        <w:pageBreakBefore w:val="0"/>
        <w:widowControl w:val="0"/>
        <w:kinsoku/>
        <w:wordWrap/>
        <w:overflowPunct/>
        <w:topLinePunct w:val="0"/>
        <w:autoSpaceDE/>
        <w:autoSpaceDN/>
        <w:bidi w:val="0"/>
        <w:adjustRightInd/>
        <w:snapToGrid/>
        <w:spacing w:line="620" w:lineRule="exact"/>
        <w:ind w:firstLine="649" w:firstLineChars="202"/>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（一）检查方式</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执法检查结合实地检查、书面检查、网络查询和招投标平台查询等方式进行。实施检查时，可依法查阅、复制有关文件、资料，调查有关情况。</w:t>
      </w:r>
    </w:p>
    <w:p>
      <w:pPr>
        <w:keepNext w:val="0"/>
        <w:keepLines w:val="0"/>
        <w:pageBreakBefore w:val="0"/>
        <w:widowControl w:val="0"/>
        <w:kinsoku/>
        <w:wordWrap/>
        <w:overflowPunct/>
        <w:topLinePunct w:val="0"/>
        <w:autoSpaceDE/>
        <w:autoSpaceDN/>
        <w:bidi w:val="0"/>
        <w:adjustRightInd/>
        <w:snapToGrid/>
        <w:spacing w:line="620" w:lineRule="exact"/>
        <w:ind w:firstLine="649" w:firstLineChars="202"/>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（二）检查对象、执法人员抽取</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湖南省“双随机、一公开”监管平台抽取等方式随机确定并记录，确保过程留痕。对检查对象开展实地检查时，执法人员不得少于2人，从湖南省“双随机、一公开”监管工作平台检查人员名录库中随机抽取。随机抽取人员属于法定回避情形的，及时予以调整，并另行随机抽选。</w:t>
      </w:r>
    </w:p>
    <w:p>
      <w:pPr>
        <w:keepNext w:val="0"/>
        <w:keepLines w:val="0"/>
        <w:pageBreakBefore w:val="0"/>
        <w:widowControl w:val="0"/>
        <w:kinsoku/>
        <w:wordWrap/>
        <w:overflowPunct/>
        <w:topLinePunct w:val="0"/>
        <w:autoSpaceDE/>
        <w:autoSpaceDN/>
        <w:bidi w:val="0"/>
        <w:adjustRightInd/>
        <w:snapToGrid/>
        <w:spacing w:line="620" w:lineRule="exact"/>
        <w:ind w:firstLine="646" w:firstLineChars="202"/>
        <w:textAlignment w:val="auto"/>
        <w:rPr>
          <w:rFonts w:hint="default" w:ascii="黑体" w:hAnsi="黑体" w:eastAsia="黑体" w:cs="黑体"/>
          <w:sz w:val="32"/>
          <w:szCs w:val="32"/>
        </w:rPr>
      </w:pPr>
      <w:r>
        <w:rPr>
          <w:rFonts w:hint="default" w:ascii="黑体" w:hAnsi="黑体" w:eastAsia="黑体" w:cs="黑体"/>
          <w:sz w:val="32"/>
          <w:szCs w:val="32"/>
        </w:rPr>
        <w:t>五、检查结果运用</w:t>
      </w:r>
    </w:p>
    <w:p>
      <w:pPr>
        <w:keepNext w:val="0"/>
        <w:keepLines w:val="0"/>
        <w:pageBreakBefore w:val="0"/>
        <w:widowControl w:val="0"/>
        <w:kinsoku/>
        <w:wordWrap/>
        <w:overflowPunct/>
        <w:topLinePunct w:val="0"/>
        <w:autoSpaceDE/>
        <w:autoSpaceDN/>
        <w:bidi w:val="0"/>
        <w:adjustRightInd/>
        <w:snapToGrid/>
        <w:spacing w:line="600" w:lineRule="exact"/>
        <w:ind w:firstLine="649" w:firstLineChars="202"/>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（一）规范结果处理</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对发现的问题将列出整改清单，限期整改；整改完成后将复查被检查问题单位整改到位情况。对发现的违法违规行为，依法依规严肃处理。涉嫌犯罪的，依法移送司法机关。</w:t>
      </w:r>
    </w:p>
    <w:p>
      <w:pPr>
        <w:keepNext w:val="0"/>
        <w:keepLines w:val="0"/>
        <w:pageBreakBefore w:val="0"/>
        <w:widowControl w:val="0"/>
        <w:kinsoku/>
        <w:wordWrap/>
        <w:overflowPunct/>
        <w:topLinePunct w:val="0"/>
        <w:autoSpaceDE/>
        <w:autoSpaceDN/>
        <w:bidi w:val="0"/>
        <w:adjustRightInd/>
        <w:snapToGrid/>
        <w:spacing w:line="600" w:lineRule="exact"/>
        <w:ind w:firstLine="649" w:firstLineChars="202"/>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（二）强化结果公开</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按照“谁检查、谁录入、谁公开”的原则，抽查检查结果在任务结束后20个工作日内在湖南省“双随机、一公开”监管平台和局门户网站向社会公布。</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黑体" w:hAnsi="黑体" w:eastAsia="黑体" w:cs="黑体"/>
          <w:sz w:val="32"/>
          <w:szCs w:val="32"/>
        </w:rPr>
      </w:pPr>
      <w:r>
        <w:rPr>
          <w:rFonts w:hint="default" w:ascii="黑体" w:hAnsi="黑体" w:eastAsia="黑体" w:cs="黑体"/>
          <w:sz w:val="32"/>
          <w:szCs w:val="32"/>
        </w:rPr>
        <w:t>六、工作要求</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建立“双随机、一公开”监管机制，是进一步加强招标投标活动事中事后监管、规范招标投标行为的重要手段。各县（市）区水利局要高度重视，准备好相关资料，做好自查工作和迎检准备。具体抽查时间及项目</w:t>
      </w:r>
      <w:bookmarkStart w:id="1" w:name="_GoBack"/>
      <w:bookmarkEnd w:id="1"/>
      <w:r>
        <w:rPr>
          <w:rFonts w:hint="default" w:ascii="Times New Roman" w:hAnsi="Times New Roman" w:eastAsia="仿宋_GB2312" w:cs="Times New Roman"/>
          <w:sz w:val="32"/>
          <w:szCs w:val="32"/>
        </w:rPr>
        <w:t>另行通知。</w:t>
      </w:r>
    </w:p>
    <w:p>
      <w:pPr>
        <w:keepNext w:val="0"/>
        <w:keepLines w:val="0"/>
        <w:pageBreakBefore w:val="0"/>
        <w:widowControl w:val="0"/>
        <w:kinsoku/>
        <w:wordWrap/>
        <w:overflowPunct/>
        <w:topLinePunct w:val="0"/>
        <w:autoSpaceDE/>
        <w:autoSpaceDN/>
        <w:bidi w:val="0"/>
        <w:adjustRightInd/>
        <w:snapToGrid/>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锐</w:t>
      </w: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18673300123</w:t>
      </w:r>
    </w:p>
    <w:p>
      <w:pPr>
        <w:keepNext w:val="0"/>
        <w:keepLines w:val="0"/>
        <w:pageBreakBefore w:val="0"/>
        <w:widowControl w:val="0"/>
        <w:kinsoku/>
        <w:wordWrap/>
        <w:overflowPunct/>
        <w:topLinePunct w:val="0"/>
        <w:autoSpaceDE/>
        <w:autoSpaceDN/>
        <w:bidi w:val="0"/>
        <w:adjustRightInd/>
        <w:snapToGrid/>
        <w:spacing w:line="240" w:lineRule="exact"/>
        <w:ind w:firstLine="646" w:firstLineChars="202"/>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758" w:leftChars="304" w:hanging="1120" w:hangingChars="3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附件：1.株洲市水利工程招标投标“双随机、一公开”监管抽查事项清单</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2.株洲市水利工程招标投标“双随机、一公开”监管抽查记录表</w:t>
      </w:r>
    </w:p>
    <w:p>
      <w:pPr>
        <w:keepNext w:val="0"/>
        <w:keepLines w:val="0"/>
        <w:pageBreakBefore w:val="0"/>
        <w:widowControl w:val="0"/>
        <w:kinsoku/>
        <w:wordWrap/>
        <w:overflowPunct/>
        <w:topLinePunct w:val="0"/>
        <w:autoSpaceDE/>
        <w:autoSpaceDN/>
        <w:bidi w:val="0"/>
        <w:adjustRightInd w:val="0"/>
        <w:snapToGrid w:val="0"/>
        <w:spacing w:line="240" w:lineRule="exact"/>
        <w:ind w:right="508" w:rightChars="242" w:firstLine="5244" w:firstLineChars="1639"/>
        <w:textAlignment w:val="center"/>
        <w:rPr>
          <w:rFonts w:hint="default" w:ascii="Times New Roman" w:hAnsi="Times New Roman" w:eastAsia="仿宋_GB2312" w:cs="Times New Roman"/>
          <w:sz w:val="32"/>
          <w:szCs w:val="32"/>
        </w:rPr>
      </w:pPr>
    </w:p>
    <w:p>
      <w:pPr>
        <w:adjustRightInd w:val="0"/>
        <w:snapToGrid w:val="0"/>
        <w:spacing w:line="560" w:lineRule="exact"/>
        <w:ind w:right="508" w:rightChars="242" w:firstLine="5244" w:firstLineChars="1639"/>
        <w:textAlignment w:val="center"/>
        <w:rPr>
          <w:rFonts w:hint="default" w:ascii="Times New Roman" w:hAnsi="Times New Roman" w:eastAsia="仿宋_GB2312" w:cs="Times New Roman"/>
          <w:sz w:val="32"/>
          <w:szCs w:val="32"/>
        </w:rPr>
      </w:pPr>
    </w:p>
    <w:p>
      <w:pPr>
        <w:adjustRightInd w:val="0"/>
        <w:snapToGrid w:val="0"/>
        <w:spacing w:line="560" w:lineRule="exact"/>
        <w:ind w:right="508" w:rightChars="242" w:firstLine="5526" w:firstLineChars="1727"/>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株洲市水利局</w:t>
      </w:r>
    </w:p>
    <w:p>
      <w:pPr>
        <w:spacing w:line="560" w:lineRule="exact"/>
        <w:ind w:right="508" w:rightChars="242" w:firstLine="5244" w:firstLineChars="163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2024年4月17日</w:t>
      </w:r>
    </w:p>
    <w:sectPr>
      <w:footerReference r:id="rId3" w:type="default"/>
      <w:footerReference r:id="rId4" w:type="even"/>
      <w:pgSz w:w="11906" w:h="16838"/>
      <w:pgMar w:top="1440" w:right="1576" w:bottom="1270" w:left="1576"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雅酷黑简">
    <w:panose1 w:val="00020600040101010101"/>
    <w:charset w:val="86"/>
    <w:family w:val="auto"/>
    <w:pitch w:val="default"/>
    <w:sig w:usb0="A00002BF" w:usb1="1AC17CFA" w:usb2="00000016" w:usb3="00000000" w:csb0="0004009F" w:csb1="DFD70000"/>
  </w:font>
  <w:font w:name="BatangChe">
    <w:panose1 w:val="0203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pPr>
    <w:r>
      <w:rPr>
        <w:rStyle w:val="11"/>
        <w:rFonts w:hint="eastAsia" w:ascii="宋体" w:hAnsi="宋体"/>
        <w:sz w:val="28"/>
        <w:szCs w:val="28"/>
      </w:rPr>
      <w:t xml:space="preserve">— </w:t>
    </w: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rPr>
        <w:rStyle w:val="11"/>
        <w:rFonts w:hint="eastAsia" w:ascii="宋体" w:hAnsi="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pPr>
    <w:r>
      <w:rPr>
        <w:rStyle w:val="11"/>
        <w:rFonts w:hint="eastAsia" w:ascii="宋体" w:hAnsi="宋体"/>
        <w:sz w:val="28"/>
        <w:szCs w:val="28"/>
      </w:rPr>
      <w:t xml:space="preserve">— </w:t>
    </w: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rPr>
        <w:rStyle w:val="11"/>
        <w:rFonts w:hint="eastAsia" w:ascii="宋体" w:hAnsi="宋体"/>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mNDYxZmZhNjk5MzMzNjI2YTUwNGYzY2YyN2UyYzkifQ=="/>
  </w:docVars>
  <w:rsids>
    <w:rsidRoot w:val="00954E79"/>
    <w:rsid w:val="00045570"/>
    <w:rsid w:val="001637B1"/>
    <w:rsid w:val="001823D3"/>
    <w:rsid w:val="00511FF5"/>
    <w:rsid w:val="007F343F"/>
    <w:rsid w:val="008103A6"/>
    <w:rsid w:val="0091014B"/>
    <w:rsid w:val="00954E79"/>
    <w:rsid w:val="009874A9"/>
    <w:rsid w:val="00A205E0"/>
    <w:rsid w:val="00B06887"/>
    <w:rsid w:val="00C633BF"/>
    <w:rsid w:val="00C84657"/>
    <w:rsid w:val="00F46899"/>
    <w:rsid w:val="00F65681"/>
    <w:rsid w:val="14A62534"/>
    <w:rsid w:val="3DD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tabs>
        <w:tab w:val="center" w:pos="4153"/>
        <w:tab w:val="right" w:pos="8306"/>
      </w:tabs>
      <w:snapToGrid w:val="0"/>
      <w:jc w:val="center"/>
    </w:pPr>
    <w:rPr>
      <w:sz w:val="18"/>
      <w:szCs w:val="18"/>
    </w:rPr>
  </w:style>
  <w:style w:type="paragraph" w:styleId="7">
    <w:name w:val="toc 1"/>
    <w:basedOn w:val="1"/>
    <w:next w:val="1"/>
    <w:autoRedefine/>
    <w:semiHidden/>
    <w:unhideWhenUsed/>
    <w:qFormat/>
    <w:uiPriority w:val="39"/>
    <w:rPr>
      <w:rFonts w:ascii="Times New Roman" w:hAnsi="Times New Roman" w:eastAsia="宋体" w:cs="Times New Roman"/>
      <w:szCs w:val="24"/>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semiHidden/>
    <w:unhideWhenUsed/>
    <w:qFormat/>
    <w:uiPriority w:val="0"/>
  </w:style>
  <w:style w:type="character" w:customStyle="1" w:styleId="12">
    <w:name w:val="批注框文本 字符"/>
    <w:basedOn w:val="10"/>
    <w:link w:val="4"/>
    <w:semiHidden/>
    <w:qFormat/>
    <w:uiPriority w:val="99"/>
    <w:rPr>
      <w:sz w:val="18"/>
      <w:szCs w:val="18"/>
    </w:rPr>
  </w:style>
  <w:style w:type="character" w:customStyle="1" w:styleId="13">
    <w:name w:val="标题 2 字符"/>
    <w:basedOn w:val="10"/>
    <w:link w:val="3"/>
    <w:uiPriority w:val="9"/>
    <w:rPr>
      <w:rFonts w:ascii="宋体" w:hAnsi="宋体" w:eastAsia="宋体" w:cs="宋体"/>
      <w:b/>
      <w:bCs/>
      <w:kern w:val="0"/>
      <w:sz w:val="36"/>
      <w:szCs w:val="36"/>
    </w:rPr>
  </w:style>
  <w:style w:type="character" w:customStyle="1" w:styleId="14">
    <w:name w:val="标题 1 字符"/>
    <w:basedOn w:val="10"/>
    <w:link w:val="2"/>
    <w:uiPriority w:val="9"/>
    <w:rPr>
      <w:b/>
      <w:bCs/>
      <w:kern w:val="44"/>
      <w:sz w:val="44"/>
      <w:szCs w:val="44"/>
    </w:rPr>
  </w:style>
  <w:style w:type="character" w:customStyle="1" w:styleId="15">
    <w:name w:val="页眉 字符"/>
    <w:basedOn w:val="10"/>
    <w:link w:val="6"/>
    <w:uiPriority w:val="99"/>
    <w:rPr>
      <w:sz w:val="18"/>
      <w:szCs w:val="18"/>
    </w:rPr>
  </w:style>
  <w:style w:type="character" w:customStyle="1" w:styleId="16">
    <w:name w:val="页脚 字符"/>
    <w:basedOn w:val="10"/>
    <w:link w:val="5"/>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188</Words>
  <Characters>1074</Characters>
  <Lines>8</Lines>
  <Paragraphs>2</Paragraphs>
  <TotalTime>18</TotalTime>
  <ScaleCrop>false</ScaleCrop>
  <LinksUpToDate>false</LinksUpToDate>
  <CharactersWithSpaces>1260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2024-04-17T09:38:00Z</dcterms:created>
  <dc:creator>xb21cn</dc:creator>
  <cp:lastModifiedBy>Administrator</cp:lastModifiedBy>
  <cp:lastPrinted>2024-04-18T07:05:24Z</cp:lastPrinted>
  <dcterms:modified xsi:type="dcterms:W3CDTF">2024-04-18T07:05:49Z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A931FE47B6C74EA0812CD6351FBC0321_12</vt:lpwstr>
  </property>
</Properties>
</file>