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hint="eastAsia" w:ascii="方正小标宋简体" w:eastAsia="方正小标宋简体"/>
          <w:sz w:val="84"/>
          <w:szCs w:val="84"/>
        </w:rPr>
      </w:pPr>
      <w:r>
        <w:rPr>
          <w:rFonts w:hint="eastAsia" w:ascii="方正小标宋简体" w:eastAsia="方正小标宋简体"/>
          <w:sz w:val="84"/>
          <w:szCs w:val="84"/>
        </w:rPr>
        <w:t>2020年度</w:t>
      </w:r>
    </w:p>
    <w:p>
      <w:pPr>
        <w:pStyle w:val="9"/>
        <w:jc w:val="center"/>
        <w:rPr>
          <w:rFonts w:hint="eastAsia" w:ascii="方正小标宋简体" w:eastAsia="方正小标宋简体"/>
          <w:sz w:val="84"/>
          <w:szCs w:val="84"/>
        </w:rPr>
      </w:pPr>
      <w:r>
        <w:rPr>
          <w:rFonts w:hint="eastAsia" w:ascii="方正小标宋简体" w:eastAsia="方正小标宋简体"/>
          <w:sz w:val="84"/>
          <w:szCs w:val="84"/>
          <w:lang w:eastAsia="zh-CN"/>
        </w:rPr>
        <w:t>株洲市行政审批服务局</w:t>
      </w:r>
      <w:r>
        <w:rPr>
          <w:rFonts w:hint="eastAsia" w:ascii="方正小标宋简体" w:eastAsia="方正小标宋简体"/>
          <w:sz w:val="84"/>
          <w:szCs w:val="84"/>
        </w:rPr>
        <w:t>部门部门决算</w:t>
      </w:r>
    </w:p>
    <w:p>
      <w:pPr>
        <w:pStyle w:val="9"/>
        <w:jc w:val="center"/>
        <w:rPr>
          <w:rFonts w:hint="eastAsia" w:ascii="方正小标宋简体" w:eastAsia="方正小标宋简体"/>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widowControl/>
        <w:jc w:val="left"/>
        <w:rPr>
          <w:rFonts w:ascii="黑体" w:eastAsia="黑体" w:cs="黑体"/>
          <w:color w:val="FF0000"/>
          <w:kern w:val="0"/>
          <w:sz w:val="52"/>
          <w:szCs w:val="56"/>
        </w:rPr>
      </w:pPr>
      <w:r>
        <w:rPr>
          <w:color w:val="FF0000"/>
          <w:sz w:val="52"/>
          <w:szCs w:val="56"/>
        </w:rPr>
        <w:br w:type="page"/>
      </w:r>
    </w:p>
    <w:p>
      <w:pPr>
        <w:pStyle w:val="9"/>
        <w:spacing w:line="460" w:lineRule="exact"/>
        <w:jc w:val="center"/>
        <w:rPr>
          <w:color w:val="FF0000"/>
          <w:sz w:val="52"/>
          <w:szCs w:val="56"/>
        </w:rPr>
      </w:pPr>
    </w:p>
    <w:p>
      <w:pPr>
        <w:pStyle w:val="9"/>
        <w:spacing w:line="460" w:lineRule="exact"/>
        <w:jc w:val="center"/>
        <w:rPr>
          <w:b/>
          <w:sz w:val="44"/>
          <w:szCs w:val="44"/>
        </w:rPr>
      </w:pPr>
      <w:r>
        <w:rPr>
          <w:rFonts w:hint="eastAsia"/>
          <w:b/>
          <w:sz w:val="44"/>
          <w:szCs w:val="44"/>
        </w:rPr>
        <w:t>目录</w:t>
      </w:r>
    </w:p>
    <w:p>
      <w:pPr>
        <w:pStyle w:val="9"/>
        <w:spacing w:line="520" w:lineRule="exact"/>
        <w:rPr>
          <w:rFonts w:ascii="仿宋_GB2312" w:hAnsi="仿宋_GB2312" w:cs="仿宋_GB2312"/>
          <w:b/>
          <w:sz w:val="28"/>
          <w:szCs w:val="28"/>
        </w:rPr>
      </w:pPr>
      <w:r>
        <w:rPr>
          <w:rFonts w:hint="eastAsia"/>
          <w:b/>
          <w:sz w:val="28"/>
          <w:szCs w:val="28"/>
        </w:rPr>
        <w:t xml:space="preserve">第一部分 </w:t>
      </w:r>
      <w:r>
        <w:rPr>
          <w:rFonts w:hint="eastAsia"/>
          <w:b/>
          <w:sz w:val="28"/>
          <w:szCs w:val="28"/>
          <w:lang w:eastAsia="zh-CN"/>
        </w:rPr>
        <w:t>行政审批服务局</w:t>
      </w:r>
      <w:r>
        <w:rPr>
          <w:rFonts w:hint="eastAsia"/>
          <w:b/>
          <w:sz w:val="28"/>
          <w:szCs w:val="28"/>
        </w:rPr>
        <w:t>单位概况</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9"/>
        <w:spacing w:line="520" w:lineRule="exact"/>
        <w:rPr>
          <w:rFonts w:ascii="仿宋_GB2312" w:hAnsi="仿宋_GB2312" w:cs="仿宋_GB2312"/>
          <w:b/>
          <w:sz w:val="28"/>
          <w:szCs w:val="28"/>
        </w:rPr>
      </w:pPr>
      <w:r>
        <w:rPr>
          <w:rFonts w:hint="eastAsia" w:hAnsi="仿宋_GB2312"/>
          <w:b/>
          <w:sz w:val="28"/>
          <w:szCs w:val="28"/>
        </w:rPr>
        <w:t xml:space="preserve">第二部分 </w:t>
      </w:r>
      <w:r>
        <w:rPr>
          <w:rFonts w:hAnsi="仿宋_GB2312"/>
          <w:b/>
          <w:sz w:val="28"/>
          <w:szCs w:val="28"/>
        </w:rPr>
        <w:t>20</w:t>
      </w:r>
      <w:r>
        <w:rPr>
          <w:rFonts w:hint="eastAsia" w:hAnsi="仿宋_GB2312"/>
          <w:b/>
          <w:sz w:val="28"/>
          <w:szCs w:val="28"/>
        </w:rPr>
        <w:t>20年度部门决算表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2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20" w:lineRule="exact"/>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20年度部门决算情况说明</w:t>
      </w:r>
    </w:p>
    <w:p>
      <w:pPr>
        <w:pStyle w:val="9"/>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2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政府性基金预算收入支出决算情况说明</w:t>
      </w:r>
    </w:p>
    <w:p>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九、国有资本经营预算支出决算情况说明</w:t>
      </w:r>
    </w:p>
    <w:p>
      <w:pPr>
        <w:pStyle w:val="9"/>
        <w:spacing w:line="520" w:lineRule="exact"/>
        <w:ind w:firstLine="700" w:firstLineChars="250"/>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cs="仿宋_GB2312" w:asciiTheme="minorEastAsia" w:hAnsiTheme="minorEastAsia" w:eastAsiaTheme="minorEastAsia"/>
          <w:sz w:val="28"/>
          <w:szCs w:val="28"/>
        </w:rPr>
        <w:t>2020年</w:t>
      </w:r>
      <w:r>
        <w:rPr>
          <w:rFonts w:hint="eastAsia" w:ascii="仿宋_GB2312" w:hAnsi="仿宋_GB2312" w:cs="仿宋_GB2312" w:eastAsiaTheme="minorEastAsia"/>
          <w:sz w:val="28"/>
          <w:szCs w:val="28"/>
        </w:rPr>
        <w:t>度预算绩效情况说明</w:t>
      </w:r>
    </w:p>
    <w:p>
      <w:pPr>
        <w:pStyle w:val="9"/>
        <w:spacing w:line="52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十一、其他重要事项说明</w:t>
      </w:r>
    </w:p>
    <w:p>
      <w:pPr>
        <w:autoSpaceDE w:val="0"/>
        <w:autoSpaceDN w:val="0"/>
        <w:adjustRightInd w:val="0"/>
        <w:spacing w:line="52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rPr>
        <w:t xml:space="preserve"> </w:t>
      </w:r>
      <w:r>
        <w:rPr>
          <w:rFonts w:ascii="黑体" w:hAnsi="黑体" w:eastAsia="黑体" w:cs="黑体"/>
          <w:b/>
          <w:color w:val="000000"/>
          <w:kern w:val="0"/>
          <w:sz w:val="28"/>
          <w:szCs w:val="28"/>
        </w:rPr>
        <w:t>名词解释</w:t>
      </w:r>
    </w:p>
    <w:p>
      <w:pPr>
        <w:autoSpaceDE w:val="0"/>
        <w:autoSpaceDN w:val="0"/>
        <w:adjustRightInd w:val="0"/>
        <w:spacing w:line="52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第五部分 附件</w:t>
      </w:r>
    </w:p>
    <w:p>
      <w:pPr>
        <w:widowControl/>
        <w:spacing w:line="52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br w:type="page"/>
      </w:r>
    </w:p>
    <w:p>
      <w:pPr>
        <w:autoSpaceDE w:val="0"/>
        <w:autoSpaceDN w:val="0"/>
        <w:adjustRightInd w:val="0"/>
        <w:spacing w:line="480" w:lineRule="exact"/>
        <w:jc w:val="left"/>
        <w:rPr>
          <w:rFonts w:ascii="黑体" w:hAnsi="黑体" w:eastAsia="黑体" w:cs="仿宋_GB2312"/>
          <w:b/>
          <w:color w:val="000000"/>
          <w:kern w:val="0"/>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rFonts w:hint="eastAsia"/>
          <w:sz w:val="84"/>
          <w:szCs w:val="84"/>
          <w:lang w:eastAsia="zh-CN"/>
        </w:rPr>
      </w:pPr>
      <w:r>
        <w:rPr>
          <w:rFonts w:hint="eastAsia"/>
          <w:sz w:val="84"/>
          <w:szCs w:val="84"/>
          <w:lang w:eastAsia="zh-CN"/>
        </w:rPr>
        <w:t>株洲市行政审批服务局</w:t>
      </w:r>
    </w:p>
    <w:p>
      <w:pPr>
        <w:pStyle w:val="9"/>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widowControl/>
        <w:jc w:val="left"/>
        <w:rPr>
          <w:sz w:val="72"/>
          <w:szCs w:val="72"/>
        </w:rPr>
      </w:pPr>
      <w:r>
        <w:rPr>
          <w:sz w:val="72"/>
          <w:szCs w:val="72"/>
        </w:rPr>
        <w:br w:type="page"/>
      </w:r>
    </w:p>
    <w:p>
      <w:pPr>
        <w:jc w:val="center"/>
        <w:rPr>
          <w:sz w:val="72"/>
          <w:szCs w:val="7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numPr>
          <w:ilvl w:val="0"/>
          <w:numId w:val="2"/>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负责指导、协调、推进全市行政审批制度改革工作。</w:t>
      </w:r>
    </w:p>
    <w:p>
      <w:pPr>
        <w:numPr>
          <w:ilvl w:val="0"/>
          <w:numId w:val="2"/>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统筹协调、监督评估全市政府系统电子政务信息化建设工作；统筹规划、协调指导、监督评估全市数据资源管理和智慧城市建设工作。</w:t>
      </w:r>
    </w:p>
    <w:p>
      <w:pPr>
        <w:numPr>
          <w:ilvl w:val="0"/>
          <w:numId w:val="2"/>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协调推进全市“放管服”改革工作。</w:t>
      </w:r>
    </w:p>
    <w:p>
      <w:pPr>
        <w:numPr>
          <w:ilvl w:val="0"/>
          <w:numId w:val="2"/>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负责市集中统一办事大厅标准化、规范化建设以及进驻部门和人员的日常管理、培训、监督和考核工作。</w:t>
      </w:r>
    </w:p>
    <w:p>
      <w:pPr>
        <w:numPr>
          <w:ilvl w:val="0"/>
          <w:numId w:val="2"/>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完成市委和市政府交办的其他任务。</w:t>
      </w:r>
    </w:p>
    <w:p>
      <w:pPr>
        <w:widowControl/>
        <w:spacing w:line="600" w:lineRule="exact"/>
        <w:rPr>
          <w:rFonts w:ascii="黑体" w:hAnsi="黑体" w:eastAsia="黑体"/>
          <w:b/>
          <w:bCs/>
          <w:kern w:val="0"/>
          <w:sz w:val="32"/>
          <w:szCs w:val="32"/>
        </w:rPr>
      </w:pPr>
      <w:r>
        <w:rPr>
          <w:rFonts w:hint="eastAsia" w:ascii="黑体" w:hAnsi="黑体" w:eastAsia="黑体"/>
          <w:b/>
          <w:bCs/>
          <w:kern w:val="0"/>
          <w:sz w:val="32"/>
          <w:szCs w:val="32"/>
        </w:rPr>
        <w:t>二、机构设置及决算单位构成</w:t>
      </w:r>
    </w:p>
    <w:p>
      <w:pPr>
        <w:widowControl/>
        <w:spacing w:line="600" w:lineRule="exact"/>
        <w:ind w:firstLine="643"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eastAsia="仿宋_GB2312" w:hAnsiTheme="minorEastAsia"/>
          <w:b/>
          <w:bCs/>
          <w:kern w:val="0"/>
          <w:sz w:val="32"/>
          <w:szCs w:val="32"/>
        </w:rPr>
        <w:t>（一）内设机构设置。</w:t>
      </w:r>
      <w:r>
        <w:rPr>
          <w:rFonts w:hint="eastAsia" w:ascii="仿宋" w:hAnsi="仿宋" w:eastAsia="仿宋" w:cs="仿宋"/>
          <w:color w:val="000000" w:themeColor="text1"/>
          <w:kern w:val="0"/>
          <w:sz w:val="32"/>
          <w:szCs w:val="32"/>
          <w14:textFill>
            <w14:solidFill>
              <w14:schemeClr w14:val="tx1"/>
            </w14:solidFill>
          </w14:textFill>
        </w:rPr>
        <w:t>市行政审批服务局共有六个内设科室，分别为：办公室、行政审批制度改革科、电子政务和数据资源管理科、协调推进科、窗口管理科、机关党总支（人事科）。</w:t>
      </w:r>
    </w:p>
    <w:p>
      <w:pPr>
        <w:numPr>
          <w:ilvl w:val="0"/>
          <w:numId w:val="0"/>
        </w:numPr>
        <w:ind w:firstLine="643" w:firstLineChars="200"/>
        <w:jc w:val="left"/>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_GB2312" w:eastAsia="仿宋_GB2312" w:hAnsiTheme="minorEastAsia"/>
          <w:b/>
          <w:bCs/>
          <w:kern w:val="0"/>
          <w:sz w:val="32"/>
          <w:szCs w:val="32"/>
        </w:rPr>
        <w:t>（二）决算单位构成。</w:t>
      </w:r>
      <w:r>
        <w:rPr>
          <w:rFonts w:hint="eastAsia" w:ascii="仿宋" w:hAnsi="仿宋" w:eastAsia="仿宋" w:cs="仿宋"/>
          <w:color w:val="000000" w:themeColor="text1"/>
          <w:kern w:val="0"/>
          <w:sz w:val="32"/>
          <w:szCs w:val="32"/>
          <w14:textFill>
            <w14:solidFill>
              <w14:schemeClr w14:val="tx1"/>
            </w14:solidFill>
          </w14:textFill>
        </w:rPr>
        <w:t>株洲市行政审批服务局20</w:t>
      </w:r>
      <w:r>
        <w:rPr>
          <w:rFonts w:hint="eastAsia" w:ascii="仿宋" w:hAnsi="仿宋" w:eastAsia="仿宋" w:cs="仿宋"/>
          <w:color w:val="000000" w:themeColor="text1"/>
          <w:kern w:val="0"/>
          <w:sz w:val="32"/>
          <w:szCs w:val="32"/>
          <w:lang w:val="en-US" w:eastAsia="zh-CN"/>
          <w14:textFill>
            <w14:solidFill>
              <w14:schemeClr w14:val="tx1"/>
            </w14:solidFill>
          </w14:textFill>
        </w:rPr>
        <w:t>20</w:t>
      </w:r>
      <w:r>
        <w:rPr>
          <w:rFonts w:hint="eastAsia" w:ascii="仿宋" w:hAnsi="仿宋" w:eastAsia="仿宋" w:cs="仿宋"/>
          <w:color w:val="000000" w:themeColor="text1"/>
          <w:kern w:val="0"/>
          <w:sz w:val="32"/>
          <w:szCs w:val="32"/>
          <w14:textFill>
            <w14:solidFill>
              <w14:schemeClr w14:val="tx1"/>
            </w14:solidFill>
          </w14:textFill>
        </w:rPr>
        <w:t>年部门决算汇总公开单位构成包括：</w:t>
      </w:r>
      <w:r>
        <w:rPr>
          <w:rFonts w:hint="eastAsia" w:ascii="仿宋" w:hAnsi="仿宋" w:eastAsia="仿宋" w:cs="仿宋"/>
          <w:b w:val="0"/>
          <w:bCs w:val="0"/>
          <w:color w:val="000000" w:themeColor="text1"/>
          <w:kern w:val="0"/>
          <w:sz w:val="32"/>
          <w:szCs w:val="32"/>
          <w14:textFill>
            <w14:solidFill>
              <w14:schemeClr w14:val="tx1"/>
            </w14:solidFill>
          </w14:textFill>
        </w:rPr>
        <w:t>株洲市行政审批服务局本级。</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jc w:val="center"/>
        <w:rPr>
          <w:sz w:val="84"/>
          <w:szCs w:val="84"/>
        </w:rPr>
      </w:pPr>
      <w:r>
        <w:rPr>
          <w:rFonts w:hint="eastAsia"/>
          <w:sz w:val="84"/>
          <w:szCs w:val="84"/>
        </w:rPr>
        <w:t>第二部分</w:t>
      </w:r>
    </w:p>
    <w:p>
      <w:pPr>
        <w:jc w:val="center"/>
        <w:rPr>
          <w:sz w:val="72"/>
          <w:szCs w:val="72"/>
        </w:rPr>
      </w:pPr>
    </w:p>
    <w:p>
      <w:pPr>
        <w:pStyle w:val="9"/>
        <w:jc w:val="center"/>
        <w:rPr>
          <w:sz w:val="84"/>
          <w:szCs w:val="84"/>
        </w:rPr>
      </w:pPr>
      <w:r>
        <w:rPr>
          <w:rFonts w:hint="eastAsia"/>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tabs>
          <w:tab w:val="right" w:pos="10466"/>
        </w:tabs>
        <w:bidi w:val="0"/>
        <w:jc w:val="left"/>
        <w:rPr>
          <w:lang w:val="en-US" w:eastAsia="zh-CN"/>
        </w:rPr>
        <w:sectPr>
          <w:pgSz w:w="11906" w:h="16838"/>
          <w:pgMar w:top="720" w:right="720" w:bottom="720" w:left="720" w:header="851" w:footer="992" w:gutter="0"/>
          <w:cols w:space="425" w:num="1"/>
          <w:docGrid w:type="lines" w:linePitch="312" w:charSpace="0"/>
        </w:sectPr>
      </w:pPr>
    </w:p>
    <w:tbl>
      <w:tblPr>
        <w:tblStyle w:val="5"/>
        <w:tblW w:w="15521" w:type="dxa"/>
        <w:tblInd w:w="93" w:type="dxa"/>
        <w:tblLayout w:type="fixed"/>
        <w:tblCellMar>
          <w:top w:w="0" w:type="dxa"/>
          <w:left w:w="108" w:type="dxa"/>
          <w:bottom w:w="0" w:type="dxa"/>
          <w:right w:w="108" w:type="dxa"/>
        </w:tblCellMar>
      </w:tblPr>
      <w:tblGrid>
        <w:gridCol w:w="15521"/>
      </w:tblGrid>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634220" cy="6640830"/>
                  <wp:effectExtent l="0" t="0" r="508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9634220" cy="664083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701530" cy="4041140"/>
                  <wp:effectExtent l="0" t="0" r="13970"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9701530" cy="404114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779635" cy="4504055"/>
                  <wp:effectExtent l="0" t="0" r="12065" b="1079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9779635" cy="450405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815195" cy="6431280"/>
                  <wp:effectExtent l="0" t="0" r="14605" b="762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9815195" cy="643128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710420" cy="4471670"/>
                  <wp:effectExtent l="0" t="0" r="5080" b="508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8"/>
                          <a:stretch>
                            <a:fillRect/>
                          </a:stretch>
                        </pic:blipFill>
                        <pic:spPr>
                          <a:xfrm>
                            <a:off x="0" y="0"/>
                            <a:ext cx="9710420" cy="447167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708515" cy="6214110"/>
                  <wp:effectExtent l="0" t="0" r="6985" b="1524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9"/>
                          <a:stretch>
                            <a:fillRect/>
                          </a:stretch>
                        </pic:blipFill>
                        <pic:spPr>
                          <a:xfrm>
                            <a:off x="0" y="0"/>
                            <a:ext cx="9708515" cy="621411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710420" cy="2047240"/>
                  <wp:effectExtent l="0" t="0" r="5080" b="1016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0"/>
                          <a:stretch>
                            <a:fillRect/>
                          </a:stretch>
                        </pic:blipFill>
                        <pic:spPr>
                          <a:xfrm>
                            <a:off x="0" y="0"/>
                            <a:ext cx="9710420" cy="204724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716135" cy="2263775"/>
                  <wp:effectExtent l="0" t="0" r="18415" b="317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1"/>
                          <a:stretch>
                            <a:fillRect/>
                          </a:stretch>
                        </pic:blipFill>
                        <pic:spPr>
                          <a:xfrm>
                            <a:off x="0" y="0"/>
                            <a:ext cx="9716135" cy="226377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rPr>
          <w:trHeight w:val="10992" w:hRule="atLeast"/>
        </w:trPr>
        <w:tc>
          <w:tcPr>
            <w:tcW w:w="15521" w:type="dxa"/>
            <w:tcBorders>
              <w:top w:val="nil"/>
              <w:left w:val="nil"/>
              <w:bottom w:val="nil"/>
              <w:right w:val="nil"/>
            </w:tcBorders>
            <w:shd w:val="clear" w:color="auto" w:fill="auto"/>
            <w:noWrap/>
            <w:vAlign w:val="center"/>
          </w:tcPr>
          <w:p>
            <w:pPr>
              <w:widowControl/>
              <w:jc w:val="center"/>
            </w:pPr>
            <w:r>
              <w:drawing>
                <wp:inline distT="0" distB="0" distL="114300" distR="114300">
                  <wp:extent cx="9676765" cy="2705100"/>
                  <wp:effectExtent l="0" t="0" r="635"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2"/>
                          <a:stretch>
                            <a:fillRect/>
                          </a:stretch>
                        </pic:blipFill>
                        <pic:spPr>
                          <a:xfrm>
                            <a:off x="0" y="0"/>
                            <a:ext cx="9676765" cy="2705100"/>
                          </a:xfrm>
                          <a:prstGeom prst="rect">
                            <a:avLst/>
                          </a:prstGeom>
                          <a:noFill/>
                          <a:ln>
                            <a:noFill/>
                          </a:ln>
                        </pic:spPr>
                      </pic:pic>
                    </a:graphicData>
                  </a:graphic>
                </wp:inline>
              </w:drawing>
            </w:r>
          </w:p>
        </w:tc>
      </w:tr>
    </w:tbl>
    <w:p>
      <w:pPr>
        <w:widowControl/>
        <w:jc w:val="left"/>
        <w:sectPr>
          <w:pgSz w:w="16838" w:h="11906" w:orient="landscape"/>
          <w:pgMar w:top="720" w:right="720" w:bottom="720" w:left="720" w:header="851" w:footer="992" w:gutter="0"/>
          <w:cols w:space="425" w:num="1"/>
          <w:docGrid w:type="linesAndChars" w:linePitch="312" w:charSpace="0"/>
        </w:sectPr>
      </w:pPr>
      <w:bookmarkStart w:id="0" w:name="RANGE!A1:I22"/>
      <w:bookmarkEnd w:id="0"/>
    </w:p>
    <w:p>
      <w:pPr>
        <w:pStyle w:val="9"/>
        <w:jc w:val="both"/>
      </w:pPr>
    </w:p>
    <w:p>
      <w:pPr>
        <w:pStyle w:val="9"/>
        <w:jc w:val="both"/>
      </w:pPr>
    </w:p>
    <w:p>
      <w:pPr>
        <w:tabs>
          <w:tab w:val="right" w:pos="15398"/>
        </w:tabs>
        <w:bidi w:val="0"/>
        <w:jc w:val="left"/>
        <w:rPr>
          <w:rFonts w:hint="eastAsia" w:eastAsiaTheme="minorEastAsia"/>
          <w:lang w:eastAsia="zh-CN"/>
        </w:rPr>
        <w:sectPr>
          <w:pgSz w:w="16838" w:h="11906" w:orient="landscape"/>
          <w:pgMar w:top="720" w:right="720" w:bottom="720" w:left="720" w:header="851" w:footer="992" w:gutter="0"/>
          <w:cols w:space="425" w:num="1"/>
          <w:docGrid w:type="linesAndChars" w:linePitch="312" w:charSpace="0"/>
        </w:sectP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rPr>
          <w:sz w:val="84"/>
          <w:szCs w:val="84"/>
        </w:rPr>
      </w:pPr>
      <w:r>
        <w:rPr>
          <w:rFonts w:hint="eastAsia"/>
          <w:sz w:val="84"/>
          <w:szCs w:val="84"/>
        </w:rPr>
        <w:t>第三部分</w:t>
      </w:r>
    </w:p>
    <w:p>
      <w:pPr>
        <w:pStyle w:val="9"/>
        <w:jc w:val="center"/>
        <w:rPr>
          <w:sz w:val="84"/>
          <w:szCs w:val="84"/>
        </w:rPr>
      </w:pPr>
    </w:p>
    <w:p>
      <w:pPr>
        <w:pStyle w:val="9"/>
        <w:jc w:val="center"/>
        <w:rPr>
          <w:sz w:val="84"/>
          <w:szCs w:val="84"/>
        </w:rPr>
      </w:pPr>
      <w:r>
        <w:rPr>
          <w:sz w:val="84"/>
          <w:szCs w:val="84"/>
        </w:rPr>
        <w:t>20</w:t>
      </w:r>
      <w:r>
        <w:rPr>
          <w:rFonts w:hint="eastAsia"/>
          <w:sz w:val="84"/>
          <w:szCs w:val="84"/>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sz w:val="32"/>
          <w:szCs w:val="32"/>
        </w:rPr>
      </w:pPr>
      <w:r>
        <w:rPr>
          <w:rFonts w:hint="eastAsia" w:hAnsi="黑体"/>
          <w:sz w:val="32"/>
          <w:szCs w:val="32"/>
        </w:rPr>
        <w:t>一、收入支出决算总体情况说明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2020年度收、支总计</w:t>
      </w:r>
      <w:r>
        <w:rPr>
          <w:rFonts w:hint="eastAsia" w:ascii="仿宋_GB2312" w:eastAsia="仿宋_GB2312" w:hAnsiTheme="minorEastAsia"/>
          <w:sz w:val="32"/>
          <w:szCs w:val="32"/>
          <w:lang w:val="en-US" w:eastAsia="zh-CN"/>
        </w:rPr>
        <w:t>2858.59</w:t>
      </w:r>
      <w:r>
        <w:rPr>
          <w:rFonts w:hint="eastAsia" w:ascii="仿宋_GB2312" w:eastAsia="仿宋_GB2312" w:hAnsiTheme="minorEastAsia"/>
          <w:sz w:val="32"/>
          <w:szCs w:val="32"/>
        </w:rPr>
        <w:t>万元（收入总计含年初结转和结余</w:t>
      </w:r>
      <w:r>
        <w:rPr>
          <w:rFonts w:hint="eastAsia" w:ascii="仿宋_GB2312" w:eastAsia="仿宋_GB2312" w:hAnsiTheme="minorEastAsia"/>
          <w:sz w:val="32"/>
          <w:szCs w:val="32"/>
          <w:lang w:val="en-US" w:eastAsia="zh-CN"/>
        </w:rPr>
        <w:t>8.61</w:t>
      </w:r>
      <w:r>
        <w:rPr>
          <w:rFonts w:hint="eastAsia" w:ascii="仿宋_GB2312" w:eastAsia="仿宋_GB2312" w:hAnsiTheme="minorEastAsia"/>
          <w:sz w:val="32"/>
          <w:szCs w:val="32"/>
        </w:rPr>
        <w:t>万元，支出总计含年末结转和结余</w:t>
      </w:r>
      <w:r>
        <w:rPr>
          <w:rFonts w:hint="eastAsia" w:ascii="仿宋_GB2312" w:eastAsia="仿宋_GB2312" w:hAnsiTheme="minorEastAsia"/>
          <w:sz w:val="32"/>
          <w:szCs w:val="32"/>
          <w:lang w:val="en-US" w:eastAsia="zh-CN"/>
        </w:rPr>
        <w:t>8.61</w:t>
      </w:r>
      <w:r>
        <w:rPr>
          <w:rFonts w:hint="eastAsia" w:ascii="仿宋_GB2312" w:eastAsia="仿宋_GB2312" w:hAnsiTheme="minorEastAsia"/>
          <w:sz w:val="32"/>
          <w:szCs w:val="32"/>
        </w:rPr>
        <w:t>万元）。与上年相比，减少</w:t>
      </w:r>
      <w:r>
        <w:rPr>
          <w:rFonts w:hint="eastAsia" w:ascii="仿宋_GB2312" w:eastAsia="仿宋_GB2312" w:hAnsiTheme="minorEastAsia"/>
          <w:sz w:val="32"/>
          <w:szCs w:val="32"/>
          <w:lang w:val="en-US" w:eastAsia="zh-CN"/>
        </w:rPr>
        <w:t>823.71</w:t>
      </w:r>
      <w:r>
        <w:rPr>
          <w:rFonts w:hint="eastAsia" w:ascii="仿宋_GB2312" w:eastAsia="仿宋_GB2312" w:hAnsiTheme="minorEastAsia"/>
          <w:sz w:val="32"/>
          <w:szCs w:val="32"/>
        </w:rPr>
        <w:t>万元，减少</w:t>
      </w:r>
      <w:r>
        <w:rPr>
          <w:rFonts w:hint="eastAsia" w:ascii="仿宋_GB2312" w:eastAsia="仿宋_GB2312" w:hAnsiTheme="minorEastAsia"/>
          <w:sz w:val="32"/>
          <w:szCs w:val="32"/>
          <w:lang w:val="en-US" w:eastAsia="zh-CN"/>
        </w:rPr>
        <w:t>22</w:t>
      </w:r>
      <w:r>
        <w:rPr>
          <w:rFonts w:hint="eastAsia" w:ascii="仿宋_GB2312" w:eastAsia="仿宋_GB2312" w:hAnsiTheme="minorEastAsia"/>
          <w:sz w:val="32"/>
          <w:szCs w:val="32"/>
        </w:rPr>
        <w:t>%，主要是因</w:t>
      </w:r>
      <w:r>
        <w:rPr>
          <w:rFonts w:hint="eastAsia" w:ascii="仿宋_GB2312" w:eastAsia="仿宋_GB2312" w:hAnsiTheme="minorEastAsia"/>
          <w:sz w:val="32"/>
          <w:szCs w:val="32"/>
          <w:lang w:eastAsia="zh-CN"/>
        </w:rPr>
        <w:t>为</w:t>
      </w:r>
      <w:r>
        <w:rPr>
          <w:rFonts w:hint="eastAsia" w:ascii="仿宋_GB2312" w:eastAsia="仿宋_GB2312" w:hAnsiTheme="minorEastAsia"/>
          <w:sz w:val="32"/>
          <w:szCs w:val="32"/>
          <w:lang w:val="en-US" w:eastAsia="zh-CN"/>
        </w:rPr>
        <w:t>2020年支付国投软件服务费减少及没有支付物业费所致。</w:t>
      </w:r>
    </w:p>
    <w:p>
      <w:pPr>
        <w:pStyle w:val="9"/>
        <w:rPr>
          <w:rFonts w:hAnsi="黑体"/>
          <w:sz w:val="32"/>
          <w:szCs w:val="32"/>
        </w:rPr>
      </w:pPr>
      <w:r>
        <w:rPr>
          <w:rFonts w:hint="eastAsia" w:hAnsi="黑体"/>
          <w:sz w:val="32"/>
          <w:szCs w:val="32"/>
        </w:rPr>
        <w:t>二、收入决算情况说明</w:t>
      </w:r>
    </w:p>
    <w:p>
      <w:pPr>
        <w:pStyle w:val="9"/>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本年收入合计2849</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97万元，其中：财政拨款收入</w:t>
      </w:r>
      <w:r>
        <w:rPr>
          <w:rFonts w:hint="eastAsia" w:ascii="仿宋_GB2312" w:eastAsia="仿宋_GB2312" w:hAnsiTheme="minorEastAsia"/>
          <w:sz w:val="32"/>
          <w:szCs w:val="32"/>
          <w:lang w:val="en-US" w:eastAsia="zh-CN"/>
        </w:rPr>
        <w:t>2849.97</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w:t>
      </w:r>
    </w:p>
    <w:p>
      <w:pPr>
        <w:pStyle w:val="9"/>
        <w:rPr>
          <w:rFonts w:hAnsi="黑体"/>
          <w:sz w:val="32"/>
          <w:szCs w:val="32"/>
        </w:rPr>
      </w:pPr>
      <w:r>
        <w:rPr>
          <w:rFonts w:hint="eastAsia" w:hAnsi="黑体"/>
          <w:sz w:val="32"/>
          <w:szCs w:val="32"/>
        </w:rPr>
        <w:t>三、支出决算情况说明</w:t>
      </w:r>
    </w:p>
    <w:p>
      <w:pPr>
        <w:pStyle w:val="9"/>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本年支出合计2849</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97万元，其中：基本支出</w:t>
      </w:r>
      <w:r>
        <w:rPr>
          <w:rFonts w:hint="eastAsia" w:ascii="仿宋_GB2312" w:eastAsia="仿宋_GB2312" w:hAnsiTheme="minorEastAsia"/>
          <w:sz w:val="32"/>
          <w:szCs w:val="32"/>
          <w:lang w:val="en-US" w:eastAsia="zh-CN"/>
        </w:rPr>
        <w:t>925.55</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32</w:t>
      </w:r>
      <w:r>
        <w:rPr>
          <w:rFonts w:hint="eastAsia" w:ascii="仿宋_GB2312" w:eastAsia="仿宋_GB2312" w:hAnsiTheme="minorEastAsia"/>
          <w:sz w:val="32"/>
          <w:szCs w:val="32"/>
        </w:rPr>
        <w:t>%；项目支出</w:t>
      </w:r>
      <w:r>
        <w:rPr>
          <w:rFonts w:hint="eastAsia" w:ascii="仿宋_GB2312" w:eastAsia="仿宋_GB2312" w:hAnsiTheme="minorEastAsia"/>
          <w:sz w:val="32"/>
          <w:szCs w:val="32"/>
          <w:lang w:val="en-US" w:eastAsia="zh-CN"/>
        </w:rPr>
        <w:t>1924.43</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68</w:t>
      </w:r>
      <w:r>
        <w:rPr>
          <w:rFonts w:hint="eastAsia" w:ascii="仿宋_GB2312" w:eastAsia="仿宋_GB2312" w:hAnsiTheme="minorEastAsia"/>
          <w:sz w:val="32"/>
          <w:szCs w:val="32"/>
        </w:rPr>
        <w:t>%。</w:t>
      </w:r>
    </w:p>
    <w:p>
      <w:pPr>
        <w:pStyle w:val="9"/>
        <w:rPr>
          <w:rFonts w:hAnsi="黑体"/>
          <w:sz w:val="32"/>
          <w:szCs w:val="32"/>
        </w:rPr>
      </w:pPr>
      <w:r>
        <w:rPr>
          <w:rFonts w:hint="eastAsia" w:hAnsi="黑体"/>
          <w:sz w:val="32"/>
          <w:szCs w:val="32"/>
        </w:rPr>
        <w:t>四、财政拨款收入支出决算总体情况说明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2020年度财政拨款收、支</w:t>
      </w:r>
      <w:r>
        <w:rPr>
          <w:rFonts w:hint="eastAsia" w:ascii="仿宋_GB2312" w:eastAsia="仿宋_GB2312" w:hAnsiTheme="minorEastAsia"/>
          <w:sz w:val="32"/>
          <w:szCs w:val="32"/>
          <w:lang w:eastAsia="zh-CN"/>
        </w:rPr>
        <w:t>总计</w:t>
      </w:r>
      <w:r>
        <w:rPr>
          <w:rFonts w:hint="eastAsia" w:ascii="仿宋_GB2312" w:eastAsia="仿宋_GB2312" w:hAnsiTheme="minorEastAsia"/>
          <w:sz w:val="32"/>
          <w:szCs w:val="32"/>
          <w:lang w:val="en-US" w:eastAsia="zh-CN"/>
        </w:rPr>
        <w:t>2858.59</w:t>
      </w:r>
      <w:r>
        <w:rPr>
          <w:rFonts w:hint="eastAsia" w:ascii="仿宋_GB2312" w:eastAsia="仿宋_GB2312" w:hAnsiTheme="minorEastAsia"/>
          <w:sz w:val="32"/>
          <w:szCs w:val="32"/>
        </w:rPr>
        <w:t>万元（收入总计含年初结转和结余</w:t>
      </w:r>
      <w:r>
        <w:rPr>
          <w:rFonts w:hint="eastAsia" w:ascii="仿宋_GB2312" w:eastAsia="仿宋_GB2312" w:hAnsiTheme="minorEastAsia"/>
          <w:sz w:val="32"/>
          <w:szCs w:val="32"/>
          <w:lang w:val="en-US" w:eastAsia="zh-CN"/>
        </w:rPr>
        <w:t>8.61</w:t>
      </w:r>
      <w:r>
        <w:rPr>
          <w:rFonts w:hint="eastAsia" w:ascii="仿宋_GB2312" w:eastAsia="仿宋_GB2312" w:hAnsiTheme="minorEastAsia"/>
          <w:sz w:val="32"/>
          <w:szCs w:val="32"/>
        </w:rPr>
        <w:t>万元，支出总计含年末结转和结余</w:t>
      </w:r>
      <w:r>
        <w:rPr>
          <w:rFonts w:hint="eastAsia" w:ascii="仿宋_GB2312" w:eastAsia="仿宋_GB2312" w:hAnsiTheme="minorEastAsia"/>
          <w:sz w:val="32"/>
          <w:szCs w:val="32"/>
          <w:lang w:val="en-US" w:eastAsia="zh-CN"/>
        </w:rPr>
        <w:t>8.61</w:t>
      </w:r>
      <w:r>
        <w:rPr>
          <w:rFonts w:hint="eastAsia" w:ascii="仿宋_GB2312" w:eastAsia="仿宋_GB2312" w:hAnsiTheme="minorEastAsia"/>
          <w:sz w:val="32"/>
          <w:szCs w:val="32"/>
        </w:rPr>
        <w:t>万元）。与上年相比，减少</w:t>
      </w:r>
      <w:r>
        <w:rPr>
          <w:rFonts w:hint="eastAsia" w:ascii="仿宋_GB2312" w:eastAsia="仿宋_GB2312" w:hAnsiTheme="minorEastAsia"/>
          <w:sz w:val="32"/>
          <w:szCs w:val="32"/>
          <w:lang w:val="en-US" w:eastAsia="zh-CN"/>
        </w:rPr>
        <w:t>823.71</w:t>
      </w:r>
      <w:r>
        <w:rPr>
          <w:rFonts w:hint="eastAsia" w:ascii="仿宋_GB2312" w:eastAsia="仿宋_GB2312" w:hAnsiTheme="minorEastAsia"/>
          <w:sz w:val="32"/>
          <w:szCs w:val="32"/>
        </w:rPr>
        <w:t>万元，减少</w:t>
      </w:r>
      <w:r>
        <w:rPr>
          <w:rFonts w:hint="eastAsia" w:ascii="仿宋_GB2312" w:eastAsia="仿宋_GB2312" w:hAnsiTheme="minorEastAsia"/>
          <w:sz w:val="32"/>
          <w:szCs w:val="32"/>
          <w:lang w:val="en-US" w:eastAsia="zh-CN"/>
        </w:rPr>
        <w:t>22%</w:t>
      </w:r>
      <w:r>
        <w:rPr>
          <w:rFonts w:hint="eastAsia" w:ascii="仿宋_GB2312" w:eastAsia="仿宋_GB2312" w:hAnsiTheme="minorEastAsia"/>
          <w:sz w:val="32"/>
          <w:szCs w:val="32"/>
        </w:rPr>
        <w:t>%，主要是因</w:t>
      </w:r>
      <w:r>
        <w:rPr>
          <w:rFonts w:hint="eastAsia" w:ascii="仿宋_GB2312" w:eastAsia="仿宋_GB2312" w:hAnsiTheme="minorEastAsia"/>
          <w:sz w:val="32"/>
          <w:szCs w:val="32"/>
          <w:lang w:eastAsia="zh-CN"/>
        </w:rPr>
        <w:t>为</w:t>
      </w:r>
      <w:r>
        <w:rPr>
          <w:rFonts w:hint="eastAsia" w:ascii="仿宋_GB2312" w:eastAsia="仿宋_GB2312" w:hAnsiTheme="minorEastAsia"/>
          <w:sz w:val="32"/>
          <w:szCs w:val="32"/>
          <w:lang w:val="en-US" w:eastAsia="zh-CN"/>
        </w:rPr>
        <w:t>2020年支付国投软件服务费减少及没有支付物业费所致。</w:t>
      </w:r>
    </w:p>
    <w:p>
      <w:pPr>
        <w:pStyle w:val="9"/>
        <w:rPr>
          <w:rFonts w:hAnsi="黑体"/>
          <w:sz w:val="32"/>
          <w:szCs w:val="32"/>
        </w:rPr>
      </w:pPr>
      <w:r>
        <w:rPr>
          <w:rFonts w:hint="eastAsia" w:hAnsi="黑体"/>
          <w:sz w:val="32"/>
          <w:szCs w:val="32"/>
        </w:rPr>
        <w:t>五、一般公共预算财政拨款支出决算情况说明</w:t>
      </w:r>
    </w:p>
    <w:p>
      <w:pPr>
        <w:pStyle w:val="9"/>
        <w:ind w:firstLine="640" w:firstLineChars="200"/>
        <w:rPr>
          <w:rFonts w:hint="eastAsia" w:ascii="仿宋_GB2312" w:eastAsia="仿宋_GB2312" w:hAnsiTheme="minorEastAsia"/>
          <w:b/>
          <w:sz w:val="32"/>
          <w:szCs w:val="32"/>
        </w:rPr>
      </w:pPr>
      <w:r>
        <w:rPr>
          <w:rFonts w:hint="eastAsia" w:ascii="仿宋_GB2312" w:eastAsia="仿宋_GB2312" w:hAnsiTheme="minorEastAsia"/>
          <w:b/>
          <w:sz w:val="32"/>
          <w:szCs w:val="32"/>
        </w:rPr>
        <w:t>（一）一般公共预算财政拨款支出决算总体情况</w:t>
      </w:r>
    </w:p>
    <w:p>
      <w:pPr>
        <w:pStyle w:val="9"/>
        <w:ind w:firstLine="640" w:firstLineChars="200"/>
        <w:rPr>
          <w:rFonts w:ascii="仿宋_GB2312" w:eastAsia="仿宋_GB2312" w:hAnsiTheme="minorEastAsia"/>
          <w:color w:val="FF0000"/>
          <w:sz w:val="32"/>
          <w:szCs w:val="32"/>
        </w:rPr>
      </w:pPr>
      <w:r>
        <w:rPr>
          <w:rFonts w:hint="eastAsia" w:ascii="仿宋_GB2312" w:eastAsia="仿宋_GB2312" w:hAnsiTheme="minorEastAsia"/>
          <w:sz w:val="32"/>
          <w:szCs w:val="32"/>
        </w:rPr>
        <w:t>2020年度一般公共预算财政拨款支出2849</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97万元，占本年支出合计的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%，与上年相比，一般公共预算财政拨款支出减少</w:t>
      </w:r>
      <w:r>
        <w:rPr>
          <w:rFonts w:hint="eastAsia" w:ascii="仿宋_GB2312" w:eastAsia="仿宋_GB2312" w:hAnsiTheme="minorEastAsia"/>
          <w:sz w:val="32"/>
          <w:szCs w:val="32"/>
          <w:lang w:val="en-US" w:eastAsia="zh-CN"/>
        </w:rPr>
        <w:t>823.71</w:t>
      </w:r>
      <w:r>
        <w:rPr>
          <w:rFonts w:hint="eastAsia" w:ascii="仿宋_GB2312" w:eastAsia="仿宋_GB2312" w:hAnsiTheme="minorEastAsia"/>
          <w:sz w:val="32"/>
          <w:szCs w:val="32"/>
        </w:rPr>
        <w:t>万元，减少</w:t>
      </w:r>
      <w:r>
        <w:rPr>
          <w:rFonts w:hint="eastAsia" w:ascii="仿宋_GB2312" w:eastAsia="仿宋_GB2312" w:hAnsiTheme="minorEastAsia"/>
          <w:sz w:val="32"/>
          <w:szCs w:val="32"/>
          <w:lang w:val="en-US" w:eastAsia="zh-CN"/>
        </w:rPr>
        <w:t>22</w:t>
      </w:r>
      <w:r>
        <w:rPr>
          <w:rFonts w:hint="eastAsia" w:ascii="仿宋_GB2312" w:eastAsia="仿宋_GB2312" w:hAnsiTheme="minorEastAsia"/>
          <w:sz w:val="32"/>
          <w:szCs w:val="32"/>
        </w:rPr>
        <w:t>%，主要是因为因</w:t>
      </w:r>
      <w:r>
        <w:rPr>
          <w:rFonts w:hint="eastAsia" w:ascii="仿宋_GB2312" w:eastAsia="仿宋_GB2312" w:hAnsiTheme="minorEastAsia"/>
          <w:sz w:val="32"/>
          <w:szCs w:val="32"/>
          <w:lang w:eastAsia="zh-CN"/>
        </w:rPr>
        <w:t>为</w:t>
      </w:r>
      <w:r>
        <w:rPr>
          <w:rFonts w:hint="eastAsia" w:ascii="仿宋_GB2312" w:eastAsia="仿宋_GB2312" w:hAnsiTheme="minorEastAsia"/>
          <w:sz w:val="32"/>
          <w:szCs w:val="32"/>
          <w:lang w:val="en-US" w:eastAsia="zh-CN"/>
        </w:rPr>
        <w:t>2020年支付国投软件服务费减少及没有支付物业费所致。</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（二）一般公共预算财政拨款支出决算结构情况</w:t>
      </w:r>
    </w:p>
    <w:p>
      <w:pPr>
        <w:pStyle w:val="9"/>
        <w:keepNext w:val="0"/>
        <w:keepLines w:val="0"/>
        <w:pageBreakBefore w:val="0"/>
        <w:widowControl w:val="0"/>
        <w:kinsoku/>
        <w:wordWrap/>
        <w:overflowPunct/>
        <w:topLinePunct w:val="0"/>
        <w:autoSpaceDE w:val="0"/>
        <w:autoSpaceDN w:val="0"/>
        <w:bidi w:val="0"/>
        <w:adjustRightInd w:val="0"/>
        <w:snapToGrid/>
        <w:ind w:left="0" w:leftChars="0" w:firstLine="640" w:firstLineChars="200"/>
        <w:jc w:val="left"/>
        <w:textAlignment w:val="auto"/>
        <w:rPr>
          <w:rFonts w:hint="eastAsia" w:ascii="仿宋" w:hAnsi="仿宋" w:eastAsia="仿宋" w:cs="仿宋"/>
          <w:b w:val="0"/>
          <w:bCs/>
          <w:color w:val="000000" w:themeColor="text1"/>
          <w:sz w:val="32"/>
          <w:szCs w:val="32"/>
          <w14:textFill>
            <w14:solidFill>
              <w14:schemeClr w14:val="tx1"/>
            </w14:solidFill>
          </w14:textFill>
        </w:rPr>
      </w:pPr>
      <w:r>
        <w:rPr>
          <w:rFonts w:hint="eastAsia" w:ascii="仿宋_GB2312" w:eastAsia="仿宋_GB2312" w:hAnsiTheme="minorEastAsia"/>
          <w:sz w:val="32"/>
          <w:szCs w:val="32"/>
        </w:rPr>
        <w:t>2020年度一般公共预算财政拨款支出2849</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97万元，主要用于以下方面：一般公共服务（类）支出</w:t>
      </w:r>
      <w:r>
        <w:rPr>
          <w:rFonts w:hint="eastAsia" w:ascii="仿宋_GB2312" w:eastAsia="仿宋_GB2312" w:hAnsiTheme="minorEastAsia"/>
          <w:sz w:val="32"/>
          <w:szCs w:val="32"/>
          <w:lang w:val="en-US" w:eastAsia="zh-CN"/>
        </w:rPr>
        <w:t>2800.27</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占</w:t>
      </w:r>
      <w:r>
        <w:rPr>
          <w:rFonts w:hint="eastAsia" w:ascii="仿宋_GB2312" w:eastAsia="仿宋_GB2312" w:hAnsiTheme="minorEastAsia"/>
          <w:sz w:val="32"/>
          <w:szCs w:val="32"/>
          <w:lang w:val="en-US" w:eastAsia="zh-CN"/>
        </w:rPr>
        <w:t>98</w:t>
      </w:r>
      <w:r>
        <w:rPr>
          <w:rFonts w:hint="eastAsia" w:ascii="仿宋_GB2312" w:eastAsia="仿宋_GB2312" w:hAnsiTheme="minorEastAsia"/>
          <w:sz w:val="32"/>
          <w:szCs w:val="32"/>
        </w:rPr>
        <w:t>%；</w:t>
      </w:r>
      <w:r>
        <w:rPr>
          <w:rFonts w:hint="eastAsia" w:ascii="仿宋" w:hAnsi="仿宋" w:eastAsia="仿宋" w:cs="仿宋"/>
          <w:b w:val="0"/>
          <w:bCs/>
          <w:color w:val="000000" w:themeColor="text1"/>
          <w:sz w:val="32"/>
          <w:szCs w:val="32"/>
          <w14:textFill>
            <w14:solidFill>
              <w14:schemeClr w14:val="tx1"/>
            </w14:solidFill>
          </w14:textFill>
        </w:rPr>
        <w:t>社会保障和就业支出</w:t>
      </w:r>
      <w:r>
        <w:rPr>
          <w:rFonts w:hint="eastAsia" w:ascii="仿宋" w:hAnsi="仿宋" w:eastAsia="仿宋" w:cs="仿宋"/>
          <w:b w:val="0"/>
          <w:bCs/>
          <w:color w:val="000000" w:themeColor="text1"/>
          <w:sz w:val="32"/>
          <w:szCs w:val="32"/>
          <w:lang w:val="en-US" w:eastAsia="zh-CN"/>
          <w14:textFill>
            <w14:solidFill>
              <w14:schemeClr w14:val="tx1"/>
            </w14:solidFill>
          </w14:textFill>
        </w:rPr>
        <w:t>28.68</w:t>
      </w:r>
      <w:r>
        <w:rPr>
          <w:rFonts w:hint="eastAsia" w:ascii="仿宋" w:hAnsi="仿宋" w:eastAsia="仿宋" w:cs="仿宋"/>
          <w:b w:val="0"/>
          <w:bCs/>
          <w:color w:val="000000" w:themeColor="text1"/>
          <w:sz w:val="32"/>
          <w:szCs w:val="32"/>
          <w14:textFill>
            <w14:solidFill>
              <w14:schemeClr w14:val="tx1"/>
            </w14:solidFill>
          </w14:textFill>
        </w:rPr>
        <w:t>万元</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占0.</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%；卫生健康支出2</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.02</w:t>
      </w:r>
      <w:r>
        <w:rPr>
          <w:rFonts w:hint="eastAsia" w:ascii="仿宋_GB2312" w:eastAsia="仿宋_GB2312" w:hAnsiTheme="minorEastAsia"/>
          <w:sz w:val="32"/>
          <w:szCs w:val="32"/>
        </w:rPr>
        <w:t>万元</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占0.</w:t>
      </w:r>
      <w:r>
        <w:rPr>
          <w:rFonts w:hint="eastAsia" w:ascii="仿宋" w:hAnsi="仿宋" w:eastAsia="仿宋" w:cs="仿宋"/>
          <w:b w:val="0"/>
          <w:bCs/>
          <w:color w:val="000000" w:themeColor="text1"/>
          <w:sz w:val="32"/>
          <w:szCs w:val="32"/>
          <w:lang w:val="en-US" w:eastAsia="zh-CN"/>
          <w14:textFill>
            <w14:solidFill>
              <w14:schemeClr w14:val="tx1"/>
            </w14:solidFill>
          </w14:textFill>
        </w:rPr>
        <w:t>1</w:t>
      </w:r>
      <w:r>
        <w:rPr>
          <w:rFonts w:hint="eastAsia" w:ascii="仿宋" w:hAnsi="仿宋" w:eastAsia="仿宋" w:cs="仿宋"/>
          <w:b w:val="0"/>
          <w:bCs/>
          <w:color w:val="000000" w:themeColor="text1"/>
          <w:sz w:val="32"/>
          <w:szCs w:val="32"/>
          <w14:textFill>
            <w14:solidFill>
              <w14:schemeClr w14:val="tx1"/>
            </w14:solidFill>
          </w14:textFill>
        </w:rPr>
        <w:t>%。</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（三）一般公共预算财政拨款支出决算具体情况</w:t>
      </w:r>
    </w:p>
    <w:p>
      <w:pPr>
        <w:pStyle w:val="9"/>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2020年度一般公共预算财政拨款支出年初预算数为</w:t>
      </w:r>
      <w:r>
        <w:rPr>
          <w:rFonts w:hint="eastAsia" w:ascii="仿宋_GB2312" w:eastAsia="仿宋_GB2312" w:hAnsiTheme="minorEastAsia"/>
          <w:sz w:val="32"/>
          <w:szCs w:val="32"/>
          <w:lang w:val="en-US" w:eastAsia="zh-CN"/>
        </w:rPr>
        <w:t>1286.24</w:t>
      </w:r>
      <w:r>
        <w:rPr>
          <w:rFonts w:hint="eastAsia" w:ascii="仿宋_GB2312" w:eastAsia="仿宋_GB2312" w:hAnsiTheme="minorEastAsia"/>
          <w:sz w:val="32"/>
          <w:szCs w:val="32"/>
        </w:rPr>
        <w:t>万元，一般公共预算财政拨款支出决算数为2849</w:t>
      </w:r>
      <w:r>
        <w:rPr>
          <w:rFonts w:hint="eastAsia" w:ascii="仿宋_GB2312" w:eastAsia="仿宋_GB2312" w:hAnsiTheme="minorEastAsia"/>
          <w:sz w:val="32"/>
          <w:szCs w:val="32"/>
          <w:lang w:val="en-US" w:eastAsia="zh-CN"/>
        </w:rPr>
        <w:t>.</w:t>
      </w:r>
      <w:r>
        <w:rPr>
          <w:rFonts w:hint="eastAsia" w:ascii="仿宋_GB2312" w:eastAsia="仿宋_GB2312" w:hAnsiTheme="minorEastAsia"/>
          <w:sz w:val="32"/>
          <w:szCs w:val="32"/>
        </w:rPr>
        <w:t>97万元，完成年初预算的</w:t>
      </w:r>
      <w:r>
        <w:rPr>
          <w:rFonts w:hint="eastAsia" w:ascii="仿宋_GB2312" w:eastAsia="仿宋_GB2312" w:hAnsiTheme="minorEastAsia"/>
          <w:sz w:val="32"/>
          <w:szCs w:val="32"/>
          <w:lang w:val="en-US" w:eastAsia="zh-CN"/>
        </w:rPr>
        <w:t>221.57</w:t>
      </w:r>
      <w:r>
        <w:rPr>
          <w:rFonts w:hint="eastAsia" w:ascii="仿宋_GB2312" w:eastAsia="仿宋_GB2312" w:hAnsiTheme="minorEastAsia"/>
          <w:sz w:val="32"/>
          <w:szCs w:val="32"/>
        </w:rPr>
        <w:t>%，其中：</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1、一般公共服务（类）政府办公厅（室）及相关机构事务</w:t>
      </w:r>
      <w:r>
        <w:rPr>
          <w:rFonts w:hint="eastAsia" w:ascii="仿宋_GB2312" w:eastAsia="仿宋_GB2312" w:hAnsiTheme="minorEastAsia"/>
          <w:sz w:val="32"/>
          <w:szCs w:val="32"/>
          <w:lang w:val="en-US" w:eastAsia="zh-CN"/>
        </w:rPr>
        <w:t>(款）</w:t>
      </w:r>
      <w:r>
        <w:rPr>
          <w:rFonts w:hint="eastAsia" w:ascii="仿宋_GB2312" w:eastAsia="仿宋_GB2312" w:hAnsiTheme="minorEastAsia"/>
          <w:sz w:val="32"/>
          <w:szCs w:val="32"/>
        </w:rPr>
        <w:t>行政运行</w:t>
      </w:r>
      <w:r>
        <w:rPr>
          <w:rFonts w:hint="eastAsia" w:ascii="仿宋_GB2312" w:eastAsia="仿宋_GB2312" w:hAnsiTheme="minorEastAsia"/>
          <w:sz w:val="32"/>
          <w:szCs w:val="32"/>
          <w:lang w:eastAsia="zh-CN"/>
        </w:rPr>
        <w:t>（项）</w:t>
      </w:r>
      <w:r>
        <w:rPr>
          <w:rFonts w:hint="eastAsia" w:ascii="仿宋_GB2312" w:eastAsia="仿宋_GB2312" w:hAnsiTheme="minorEastAsia"/>
          <w:sz w:val="32"/>
          <w:szCs w:val="32"/>
        </w:rPr>
        <w:t>。</w:t>
      </w:r>
    </w:p>
    <w:p>
      <w:pPr>
        <w:pStyle w:val="9"/>
        <w:ind w:firstLine="640" w:firstLineChars="200"/>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555.75</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550.26</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99</w:t>
      </w:r>
      <w:r>
        <w:rPr>
          <w:rFonts w:hint="eastAsia" w:ascii="仿宋_GB2312" w:eastAsia="仿宋_GB2312" w:hAnsiTheme="minorEastAsia"/>
          <w:sz w:val="32"/>
          <w:szCs w:val="32"/>
        </w:rPr>
        <w:t>%，决算数小于年初预算数的主要原因是：</w:t>
      </w:r>
      <w:r>
        <w:rPr>
          <w:rFonts w:hint="eastAsia" w:ascii="仿宋_GB2312" w:eastAsia="仿宋_GB2312" w:hAnsiTheme="minorEastAsia"/>
          <w:sz w:val="32"/>
          <w:szCs w:val="32"/>
          <w:lang w:eastAsia="zh-CN"/>
        </w:rPr>
        <w:t>厉行节约。</w:t>
      </w:r>
    </w:p>
    <w:p>
      <w:pPr>
        <w:pStyle w:val="9"/>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2、一般公共服务（类）政府办公厅（室）及相关机构事务</w:t>
      </w:r>
      <w:r>
        <w:rPr>
          <w:rFonts w:hint="eastAsia" w:ascii="仿宋_GB2312" w:eastAsia="仿宋_GB2312" w:hAnsiTheme="minorEastAsia"/>
          <w:sz w:val="32"/>
          <w:szCs w:val="32"/>
          <w:lang w:val="en-US" w:eastAsia="zh-CN"/>
        </w:rPr>
        <w:t>(款）其他政府办公厅（室）及相关机构事务支出（项）</w:t>
      </w:r>
      <w:r>
        <w:rPr>
          <w:rFonts w:hint="eastAsia" w:ascii="仿宋_GB2312" w:eastAsia="仿宋_GB2312" w:hAnsiTheme="minorEastAsia"/>
          <w:sz w:val="32"/>
          <w:szCs w:val="32"/>
        </w:rPr>
        <w:t>。</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680</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635.01</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93.38</w:t>
      </w:r>
      <w:r>
        <w:rPr>
          <w:rFonts w:hint="eastAsia" w:ascii="仿宋_GB2312" w:eastAsia="仿宋_GB2312" w:hAnsiTheme="minorEastAsia"/>
          <w:sz w:val="32"/>
          <w:szCs w:val="32"/>
        </w:rPr>
        <w:t>%，决算数小于年初预算数的主要原因是：</w:t>
      </w:r>
      <w:r>
        <w:rPr>
          <w:rFonts w:hint="eastAsia" w:ascii="仿宋_GB2312" w:eastAsia="仿宋_GB2312" w:hAnsiTheme="minorEastAsia"/>
          <w:sz w:val="32"/>
          <w:szCs w:val="32"/>
          <w:lang w:eastAsia="zh-CN"/>
        </w:rPr>
        <w:t>厉行节约。</w:t>
      </w:r>
    </w:p>
    <w:p>
      <w:pPr>
        <w:pStyle w:val="9"/>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一般公共服务（类）其他一般公共服务支出</w:t>
      </w:r>
      <w:r>
        <w:rPr>
          <w:rFonts w:hint="eastAsia" w:ascii="仿宋_GB2312" w:eastAsia="仿宋_GB2312" w:hAnsiTheme="minorEastAsia"/>
          <w:sz w:val="32"/>
          <w:szCs w:val="32"/>
          <w:lang w:val="en-US" w:eastAsia="zh-CN"/>
        </w:rPr>
        <w:t>(款）</w:t>
      </w:r>
      <w:r>
        <w:rPr>
          <w:rFonts w:hint="eastAsia" w:ascii="仿宋_GB2312" w:eastAsia="仿宋_GB2312" w:hAnsiTheme="minorEastAsia"/>
          <w:sz w:val="32"/>
          <w:szCs w:val="32"/>
        </w:rPr>
        <w:t>其他一般公共服务支出</w:t>
      </w:r>
      <w:r>
        <w:rPr>
          <w:rFonts w:hint="eastAsia" w:ascii="仿宋_GB2312" w:eastAsia="仿宋_GB2312" w:hAnsiTheme="minorEastAsia"/>
          <w:sz w:val="32"/>
          <w:szCs w:val="32"/>
          <w:lang w:eastAsia="zh-CN"/>
        </w:rPr>
        <w:t>（项）</w:t>
      </w:r>
    </w:p>
    <w:p>
      <w:pPr>
        <w:pStyle w:val="9"/>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1615</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1615</w:t>
      </w:r>
      <w:r>
        <w:rPr>
          <w:rFonts w:hint="eastAsia" w:ascii="仿宋_GB2312" w:eastAsia="仿宋_GB2312" w:hAnsiTheme="minorEastAsia"/>
          <w:sz w:val="32"/>
          <w:szCs w:val="32"/>
        </w:rPr>
        <w:t>%，决算数</w:t>
      </w:r>
      <w:r>
        <w:rPr>
          <w:rFonts w:hint="eastAsia" w:ascii="仿宋_GB2312" w:eastAsia="仿宋_GB2312" w:hAnsiTheme="minorEastAsia"/>
          <w:sz w:val="32"/>
          <w:szCs w:val="32"/>
          <w:lang w:eastAsia="zh-CN"/>
        </w:rPr>
        <w:t>大</w:t>
      </w:r>
      <w:r>
        <w:rPr>
          <w:rFonts w:hint="eastAsia" w:ascii="仿宋_GB2312" w:eastAsia="仿宋_GB2312" w:hAnsiTheme="minorEastAsia"/>
          <w:sz w:val="32"/>
          <w:szCs w:val="32"/>
        </w:rPr>
        <w:t>于年初预算数的主要原因是：</w:t>
      </w:r>
      <w:r>
        <w:rPr>
          <w:rFonts w:hint="eastAsia" w:ascii="仿宋_GB2312" w:eastAsia="仿宋_GB2312" w:hAnsiTheme="minorEastAsia"/>
          <w:sz w:val="32"/>
          <w:szCs w:val="32"/>
          <w:lang w:eastAsia="zh-CN"/>
        </w:rPr>
        <w:t>新增支付国投软件服务费。</w:t>
      </w:r>
    </w:p>
    <w:p>
      <w:pPr>
        <w:pStyle w:val="9"/>
        <w:numPr>
          <w:ilvl w:val="0"/>
          <w:numId w:val="3"/>
        </w:numPr>
        <w:ind w:left="-10" w:leftChars="0" w:firstLine="640" w:firstLineChars="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社会保障和就业支出</w:t>
      </w:r>
      <w:r>
        <w:rPr>
          <w:rFonts w:hint="eastAsia" w:ascii="仿宋_GB2312" w:eastAsia="仿宋_GB2312" w:hAnsiTheme="minorEastAsia"/>
          <w:sz w:val="32"/>
          <w:szCs w:val="32"/>
        </w:rPr>
        <w:t>（类）</w:t>
      </w:r>
      <w:r>
        <w:rPr>
          <w:rFonts w:hint="eastAsia" w:ascii="仿宋_GB2312" w:eastAsia="仿宋_GB2312" w:hAnsiTheme="minorEastAsia"/>
          <w:sz w:val="32"/>
          <w:szCs w:val="32"/>
          <w:lang w:val="en-US" w:eastAsia="zh-CN"/>
        </w:rPr>
        <w:t>行政事业单位养老支出(款）机关事业单位基本养老保险缴费支出</w:t>
      </w:r>
      <w:r>
        <w:rPr>
          <w:rFonts w:hint="eastAsia" w:ascii="仿宋_GB2312" w:eastAsia="仿宋_GB2312" w:hAnsiTheme="minorEastAsia"/>
          <w:sz w:val="32"/>
          <w:szCs w:val="32"/>
          <w:lang w:eastAsia="zh-CN"/>
        </w:rPr>
        <w:t>（项）</w:t>
      </w:r>
    </w:p>
    <w:p>
      <w:pPr>
        <w:pStyle w:val="9"/>
        <w:numPr>
          <w:ilvl w:val="0"/>
          <w:numId w:val="0"/>
        </w:num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29.01</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28.68</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98.86</w:t>
      </w:r>
      <w:r>
        <w:rPr>
          <w:rFonts w:hint="eastAsia" w:ascii="仿宋_GB2312" w:eastAsia="仿宋_GB2312" w:hAnsiTheme="minorEastAsia"/>
          <w:sz w:val="32"/>
          <w:szCs w:val="32"/>
        </w:rPr>
        <w:t>%，决算数</w:t>
      </w:r>
      <w:r>
        <w:rPr>
          <w:rFonts w:hint="eastAsia" w:ascii="仿宋_GB2312" w:eastAsia="仿宋_GB2312" w:hAnsiTheme="minorEastAsia"/>
          <w:sz w:val="32"/>
          <w:szCs w:val="32"/>
          <w:lang w:eastAsia="zh-CN"/>
        </w:rPr>
        <w:t>小</w:t>
      </w:r>
      <w:r>
        <w:rPr>
          <w:rFonts w:hint="eastAsia" w:ascii="仿宋_GB2312" w:eastAsia="仿宋_GB2312" w:hAnsiTheme="minorEastAsia"/>
          <w:sz w:val="32"/>
          <w:szCs w:val="32"/>
        </w:rPr>
        <w:t>于年初预算数的主要原因是：</w:t>
      </w:r>
      <w:r>
        <w:rPr>
          <w:rFonts w:hint="eastAsia" w:ascii="仿宋_GB2312" w:eastAsia="仿宋_GB2312" w:hAnsiTheme="minorEastAsia"/>
          <w:sz w:val="32"/>
          <w:szCs w:val="32"/>
          <w:lang w:eastAsia="zh-CN"/>
        </w:rPr>
        <w:t>人员调进调出。</w:t>
      </w:r>
    </w:p>
    <w:p>
      <w:pPr>
        <w:pStyle w:val="9"/>
        <w:numPr>
          <w:ilvl w:val="0"/>
          <w:numId w:val="3"/>
        </w:numPr>
        <w:ind w:left="-10" w:leftChars="0" w:firstLine="640" w:firstLineChars="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社会保障和就业支出</w:t>
      </w:r>
      <w:r>
        <w:rPr>
          <w:rFonts w:hint="eastAsia" w:ascii="仿宋_GB2312" w:eastAsia="仿宋_GB2312" w:hAnsiTheme="minorEastAsia"/>
          <w:sz w:val="32"/>
          <w:szCs w:val="32"/>
        </w:rPr>
        <w:t>（类）</w:t>
      </w:r>
      <w:r>
        <w:rPr>
          <w:rFonts w:hint="eastAsia" w:ascii="仿宋_GB2312" w:eastAsia="仿宋_GB2312" w:hAnsiTheme="minorEastAsia"/>
          <w:sz w:val="32"/>
          <w:szCs w:val="32"/>
          <w:lang w:val="en-US" w:eastAsia="zh-CN"/>
        </w:rPr>
        <w:t>行政事业单位养老支出(款）行政单位离退休</w:t>
      </w:r>
      <w:r>
        <w:rPr>
          <w:rFonts w:hint="eastAsia" w:ascii="仿宋_GB2312" w:eastAsia="仿宋_GB2312" w:hAnsiTheme="minorEastAsia"/>
          <w:sz w:val="32"/>
          <w:szCs w:val="32"/>
          <w:lang w:eastAsia="zh-CN"/>
        </w:rPr>
        <w:t>（项）</w:t>
      </w:r>
    </w:p>
    <w:p>
      <w:pPr>
        <w:pStyle w:val="9"/>
        <w:numPr>
          <w:ilvl w:val="0"/>
          <w:numId w:val="0"/>
        </w:num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3.39</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3.39</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w:t>
      </w:r>
    </w:p>
    <w:p>
      <w:pPr>
        <w:pStyle w:val="9"/>
        <w:numPr>
          <w:ilvl w:val="0"/>
          <w:numId w:val="0"/>
        </w:numPr>
        <w:ind w:left="630" w:leftChars="0"/>
        <w:rPr>
          <w:rFonts w:hint="eastAsia" w:ascii="仿宋_GB2312" w:eastAsia="仿宋_GB2312" w:hAnsiTheme="minorEastAsia"/>
          <w:sz w:val="32"/>
          <w:szCs w:val="32"/>
          <w:lang w:eastAsia="zh-CN"/>
        </w:rPr>
      </w:pPr>
    </w:p>
    <w:p>
      <w:pPr>
        <w:pStyle w:val="9"/>
        <w:numPr>
          <w:ilvl w:val="0"/>
          <w:numId w:val="3"/>
        </w:numPr>
        <w:ind w:left="-10" w:leftChars="0" w:firstLine="640" w:firstLineChars="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卫生健康支出</w:t>
      </w:r>
      <w:r>
        <w:rPr>
          <w:rFonts w:hint="eastAsia" w:ascii="仿宋_GB2312" w:eastAsia="仿宋_GB2312" w:hAnsiTheme="minorEastAsia"/>
          <w:sz w:val="32"/>
          <w:szCs w:val="32"/>
        </w:rPr>
        <w:t>（类）行政事业单位医疗</w:t>
      </w:r>
      <w:r>
        <w:rPr>
          <w:rFonts w:hint="eastAsia" w:ascii="仿宋_GB2312" w:eastAsia="仿宋_GB2312" w:hAnsiTheme="minorEastAsia"/>
          <w:sz w:val="32"/>
          <w:szCs w:val="32"/>
          <w:lang w:val="en-US" w:eastAsia="zh-CN"/>
        </w:rPr>
        <w:t>(款）行政单位医疗</w:t>
      </w:r>
      <w:r>
        <w:rPr>
          <w:rFonts w:hint="eastAsia" w:ascii="仿宋_GB2312" w:eastAsia="仿宋_GB2312" w:hAnsiTheme="minorEastAsia"/>
          <w:sz w:val="32"/>
          <w:szCs w:val="32"/>
          <w:lang w:eastAsia="zh-CN"/>
        </w:rPr>
        <w:t>（项）</w:t>
      </w:r>
    </w:p>
    <w:p>
      <w:pPr>
        <w:pStyle w:val="9"/>
        <w:numPr>
          <w:ilvl w:val="0"/>
          <w:numId w:val="0"/>
        </w:num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13.22</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13.22</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100</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w:t>
      </w:r>
    </w:p>
    <w:p>
      <w:pPr>
        <w:pStyle w:val="9"/>
        <w:numPr>
          <w:ilvl w:val="0"/>
          <w:numId w:val="3"/>
        </w:numPr>
        <w:ind w:left="-10" w:leftChars="0" w:firstLine="640" w:firstLineChars="0"/>
        <w:rPr>
          <w:rFonts w:hint="eastAsia" w:ascii="仿宋_GB2312" w:eastAsia="仿宋_GB2312" w:hAnsiTheme="minorEastAsia"/>
          <w:sz w:val="32"/>
          <w:szCs w:val="32"/>
          <w:lang w:eastAsia="zh-CN"/>
        </w:rPr>
      </w:pPr>
      <w:r>
        <w:rPr>
          <w:rFonts w:hint="eastAsia" w:ascii="仿宋_GB2312" w:eastAsia="仿宋_GB2312" w:hAnsiTheme="minorEastAsia"/>
          <w:sz w:val="32"/>
          <w:szCs w:val="32"/>
          <w:lang w:val="en-US" w:eastAsia="zh-CN"/>
        </w:rPr>
        <w:t>卫生健康支出</w:t>
      </w:r>
      <w:r>
        <w:rPr>
          <w:rFonts w:hint="eastAsia" w:ascii="仿宋_GB2312" w:eastAsia="仿宋_GB2312" w:hAnsiTheme="minorEastAsia"/>
          <w:sz w:val="32"/>
          <w:szCs w:val="32"/>
        </w:rPr>
        <w:t>（类）行政事业单位医疗</w:t>
      </w:r>
      <w:r>
        <w:rPr>
          <w:rFonts w:hint="eastAsia" w:ascii="仿宋_GB2312" w:eastAsia="仿宋_GB2312" w:hAnsiTheme="minorEastAsia"/>
          <w:sz w:val="32"/>
          <w:szCs w:val="32"/>
          <w:lang w:val="en-US" w:eastAsia="zh-CN"/>
        </w:rPr>
        <w:t>(款）公务员医疗补助</w:t>
      </w:r>
      <w:r>
        <w:rPr>
          <w:rFonts w:hint="eastAsia" w:ascii="仿宋_GB2312" w:eastAsia="仿宋_GB2312" w:hAnsiTheme="minorEastAsia"/>
          <w:sz w:val="32"/>
          <w:szCs w:val="32"/>
          <w:lang w:eastAsia="zh-CN"/>
        </w:rPr>
        <w:t>（项）</w:t>
      </w:r>
    </w:p>
    <w:p>
      <w:pPr>
        <w:pStyle w:val="9"/>
        <w:numPr>
          <w:ilvl w:val="0"/>
          <w:numId w:val="0"/>
        </w:numPr>
        <w:ind w:firstLine="64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年初预算为</w:t>
      </w:r>
      <w:r>
        <w:rPr>
          <w:rFonts w:hint="eastAsia" w:ascii="仿宋_GB2312" w:eastAsia="仿宋_GB2312" w:hAnsiTheme="minorEastAsia"/>
          <w:sz w:val="32"/>
          <w:szCs w:val="32"/>
          <w:lang w:val="en-US" w:eastAsia="zh-CN"/>
        </w:rPr>
        <w:t>8.26</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7.80</w:t>
      </w:r>
      <w:r>
        <w:rPr>
          <w:rFonts w:hint="eastAsia" w:ascii="仿宋_GB2312" w:eastAsia="仿宋_GB2312" w:hAnsiTheme="minorEastAsia"/>
          <w:sz w:val="32"/>
          <w:szCs w:val="32"/>
        </w:rPr>
        <w:t>万元，完成年初预算的</w:t>
      </w:r>
      <w:r>
        <w:rPr>
          <w:rFonts w:hint="eastAsia" w:ascii="仿宋_GB2312" w:eastAsia="仿宋_GB2312" w:hAnsiTheme="minorEastAsia"/>
          <w:sz w:val="32"/>
          <w:szCs w:val="32"/>
          <w:lang w:val="en-US" w:eastAsia="zh-CN"/>
        </w:rPr>
        <w:t>94.43</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决算数</w:t>
      </w:r>
      <w:r>
        <w:rPr>
          <w:rFonts w:hint="eastAsia" w:ascii="仿宋_GB2312" w:eastAsia="仿宋_GB2312" w:hAnsiTheme="minorEastAsia"/>
          <w:sz w:val="32"/>
          <w:szCs w:val="32"/>
          <w:lang w:eastAsia="zh-CN"/>
        </w:rPr>
        <w:t>小</w:t>
      </w:r>
      <w:r>
        <w:rPr>
          <w:rFonts w:hint="eastAsia" w:ascii="仿宋_GB2312" w:eastAsia="仿宋_GB2312" w:hAnsiTheme="minorEastAsia"/>
          <w:sz w:val="32"/>
          <w:szCs w:val="32"/>
        </w:rPr>
        <w:t>于年初预算数的主要原因是：</w:t>
      </w:r>
      <w:r>
        <w:rPr>
          <w:rFonts w:hint="eastAsia" w:ascii="仿宋_GB2312" w:eastAsia="仿宋_GB2312" w:hAnsiTheme="minorEastAsia"/>
          <w:sz w:val="32"/>
          <w:szCs w:val="32"/>
          <w:lang w:eastAsia="zh-CN"/>
        </w:rPr>
        <w:t>人员调进调出。</w:t>
      </w:r>
    </w:p>
    <w:p>
      <w:pPr>
        <w:pStyle w:val="9"/>
        <w:rPr>
          <w:rFonts w:hAnsi="黑体"/>
          <w:sz w:val="32"/>
          <w:szCs w:val="32"/>
        </w:rPr>
      </w:pPr>
      <w:r>
        <w:rPr>
          <w:rFonts w:hint="eastAsia" w:hAnsi="黑体"/>
          <w:sz w:val="32"/>
          <w:szCs w:val="32"/>
        </w:rPr>
        <w:t>六、一般公共预算财政拨款基本支出决算情况说明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2020年度一般公共预算财政拨款基本支出</w:t>
      </w:r>
      <w:r>
        <w:rPr>
          <w:rFonts w:hint="eastAsia" w:ascii="仿宋_GB2312" w:eastAsia="仿宋_GB2312" w:hAnsiTheme="minorEastAsia"/>
          <w:sz w:val="32"/>
          <w:szCs w:val="32"/>
          <w:lang w:val="en-US" w:eastAsia="zh-CN"/>
        </w:rPr>
        <w:t>925.55</w:t>
      </w:r>
      <w:r>
        <w:rPr>
          <w:rFonts w:hint="eastAsia" w:ascii="仿宋_GB2312" w:eastAsia="仿宋_GB2312" w:hAnsiTheme="minorEastAsia"/>
          <w:sz w:val="32"/>
          <w:szCs w:val="32"/>
        </w:rPr>
        <w:t>万元，其中：人员经费</w:t>
      </w:r>
      <w:r>
        <w:rPr>
          <w:rFonts w:hint="eastAsia" w:ascii="仿宋_GB2312" w:eastAsia="仿宋_GB2312" w:hAnsiTheme="minorEastAsia"/>
          <w:sz w:val="32"/>
          <w:szCs w:val="32"/>
          <w:lang w:val="en-US" w:eastAsia="zh-CN"/>
        </w:rPr>
        <w:t>352.16</w:t>
      </w:r>
      <w:r>
        <w:rPr>
          <w:rFonts w:hint="eastAsia" w:ascii="仿宋_GB2312" w:eastAsia="仿宋_GB2312" w:hAnsiTheme="minorEastAsia"/>
          <w:sz w:val="32"/>
          <w:szCs w:val="32"/>
        </w:rPr>
        <w:t>万元，占基本支出的</w:t>
      </w:r>
      <w:r>
        <w:rPr>
          <w:rFonts w:hint="eastAsia" w:ascii="仿宋_GB2312" w:eastAsia="仿宋_GB2312" w:hAnsiTheme="minorEastAsia"/>
          <w:sz w:val="32"/>
          <w:szCs w:val="32"/>
          <w:lang w:val="en-US" w:eastAsia="zh-CN"/>
        </w:rPr>
        <w:t>38.05</w:t>
      </w:r>
      <w:r>
        <w:rPr>
          <w:rFonts w:hint="eastAsia" w:ascii="仿宋_GB2312" w:eastAsia="仿宋_GB2312" w:hAnsiTheme="minorEastAsia"/>
          <w:sz w:val="32"/>
          <w:szCs w:val="32"/>
        </w:rPr>
        <w:t>%,主要包括基本工资、津贴补贴、奖金、机关事业单位基本养老保险缴费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职工基本医疗保险缴费公务员医疗补助缴费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住房公积金医疗费，其他工资福利支出对个人和家庭的补助，医疗费补助，退休费，奖励金等；公用经费</w:t>
      </w:r>
      <w:r>
        <w:rPr>
          <w:rFonts w:hint="eastAsia" w:ascii="仿宋_GB2312" w:eastAsia="仿宋_GB2312" w:hAnsiTheme="minorEastAsia"/>
          <w:sz w:val="32"/>
          <w:szCs w:val="32"/>
          <w:lang w:val="en-US" w:eastAsia="zh-CN"/>
        </w:rPr>
        <w:t>573.38</w:t>
      </w:r>
      <w:r>
        <w:rPr>
          <w:rFonts w:hint="eastAsia" w:ascii="仿宋_GB2312" w:eastAsia="仿宋_GB2312" w:hAnsiTheme="minorEastAsia"/>
          <w:sz w:val="32"/>
          <w:szCs w:val="32"/>
        </w:rPr>
        <w:t>万元，占基本支出的</w:t>
      </w:r>
      <w:r>
        <w:rPr>
          <w:rFonts w:hint="eastAsia" w:ascii="仿宋_GB2312" w:eastAsia="仿宋_GB2312" w:hAnsiTheme="minorEastAsia"/>
          <w:sz w:val="32"/>
          <w:szCs w:val="32"/>
          <w:lang w:val="en-US" w:eastAsia="zh-CN"/>
        </w:rPr>
        <w:t>61.95</w:t>
      </w:r>
      <w:r>
        <w:rPr>
          <w:rFonts w:hint="eastAsia" w:ascii="仿宋_GB2312" w:eastAsia="仿宋_GB2312" w:hAnsiTheme="minorEastAsia"/>
          <w:sz w:val="32"/>
          <w:szCs w:val="32"/>
        </w:rPr>
        <w:t>%，主要包括办公费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印刷费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水费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电费</w:t>
      </w:r>
      <w:r>
        <w:rPr>
          <w:rFonts w:hint="eastAsia" w:ascii="仿宋_GB2312" w:eastAsia="仿宋_GB2312" w:hAnsiTheme="minorEastAsia"/>
          <w:sz w:val="32"/>
          <w:szCs w:val="32"/>
          <w:lang w:eastAsia="zh-CN"/>
        </w:rPr>
        <w:t>、邮电</w:t>
      </w:r>
      <w:r>
        <w:rPr>
          <w:rFonts w:hint="eastAsia" w:ascii="仿宋_GB2312" w:eastAsia="仿宋_GB2312" w:hAnsiTheme="minorEastAsia"/>
          <w:sz w:val="32"/>
          <w:szCs w:val="32"/>
        </w:rPr>
        <w:t>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差旅费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维修费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培训费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公务接待费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劳务费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委托业务费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工会经费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福利费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公务用车运行维护费</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其他交通费用，其他商品和服务支出。</w:t>
      </w:r>
    </w:p>
    <w:p>
      <w:pPr>
        <w:pStyle w:val="9"/>
        <w:rPr>
          <w:rFonts w:hAnsi="黑体"/>
          <w:sz w:val="32"/>
          <w:szCs w:val="32"/>
        </w:rPr>
      </w:pPr>
      <w:r>
        <w:rPr>
          <w:rFonts w:hint="eastAsia" w:hAnsi="黑体"/>
          <w:sz w:val="32"/>
          <w:szCs w:val="32"/>
        </w:rPr>
        <w:t>七、一般公共预算财政拨款三公经费支出决算情况说明</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（一）“三公”经费财政拨款支出决算总体情况说明</w:t>
      </w:r>
    </w:p>
    <w:p>
      <w:pPr>
        <w:pStyle w:val="9"/>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“三公”经费财政拨款支出预算为</w:t>
      </w:r>
      <w:r>
        <w:rPr>
          <w:rFonts w:hint="eastAsia" w:ascii="仿宋_GB2312" w:eastAsia="仿宋_GB2312" w:hAnsiTheme="minorEastAsia"/>
          <w:sz w:val="32"/>
          <w:szCs w:val="32"/>
          <w:lang w:val="en-US" w:eastAsia="zh-CN"/>
        </w:rPr>
        <w:t>33</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32.57</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98.7</w:t>
      </w:r>
      <w:r>
        <w:rPr>
          <w:rFonts w:hint="eastAsia" w:ascii="仿宋_GB2312" w:eastAsia="仿宋_GB2312" w:hAnsiTheme="minorEastAsia"/>
          <w:sz w:val="32"/>
          <w:szCs w:val="32"/>
        </w:rPr>
        <w:t>%，其中：</w:t>
      </w:r>
    </w:p>
    <w:p>
      <w:pPr>
        <w:pStyle w:val="9"/>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因公出国（境）费支出预算为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w:t>
      </w:r>
    </w:p>
    <w:p>
      <w:pPr>
        <w:pStyle w:val="9"/>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公务接待费支出预算为</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1.08</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27</w:t>
      </w:r>
      <w:r>
        <w:rPr>
          <w:rFonts w:hint="eastAsia" w:ascii="仿宋_GB2312" w:eastAsia="仿宋_GB2312" w:hAnsiTheme="minorEastAsia"/>
          <w:sz w:val="32"/>
          <w:szCs w:val="32"/>
        </w:rPr>
        <w:t>%，决算数小于预算数的主要原因是</w:t>
      </w:r>
      <w:r>
        <w:rPr>
          <w:rFonts w:hint="eastAsia" w:ascii="仿宋_GB2312" w:eastAsia="仿宋_GB2312" w:hAnsiTheme="minorEastAsia"/>
          <w:sz w:val="32"/>
          <w:szCs w:val="32"/>
          <w:lang w:eastAsia="zh-CN"/>
        </w:rPr>
        <w:t>厉行节约</w:t>
      </w:r>
      <w:r>
        <w:rPr>
          <w:rFonts w:hint="eastAsia" w:ascii="仿宋_GB2312" w:eastAsia="仿宋_GB2312" w:hAnsiTheme="minorEastAsia"/>
          <w:sz w:val="32"/>
          <w:szCs w:val="32"/>
        </w:rPr>
        <w:t>，与上年相比减少</w:t>
      </w:r>
      <w:r>
        <w:rPr>
          <w:rFonts w:hint="eastAsia" w:ascii="仿宋_GB2312" w:eastAsia="仿宋_GB2312" w:hAnsiTheme="minorEastAsia"/>
          <w:sz w:val="32"/>
          <w:szCs w:val="32"/>
          <w:lang w:val="en-US" w:eastAsia="zh-CN"/>
        </w:rPr>
        <w:t>1.72</w:t>
      </w:r>
      <w:r>
        <w:rPr>
          <w:rFonts w:hint="eastAsia" w:ascii="仿宋_GB2312" w:eastAsia="仿宋_GB2312" w:hAnsiTheme="minorEastAsia"/>
          <w:sz w:val="32"/>
          <w:szCs w:val="32"/>
        </w:rPr>
        <w:t>万元，减少</w:t>
      </w:r>
      <w:r>
        <w:rPr>
          <w:rFonts w:hint="eastAsia" w:ascii="仿宋_GB2312" w:eastAsia="仿宋_GB2312" w:hAnsiTheme="minorEastAsia"/>
          <w:sz w:val="32"/>
          <w:szCs w:val="32"/>
          <w:lang w:val="en-US" w:eastAsia="zh-CN"/>
        </w:rPr>
        <w:t>61.43</w:t>
      </w:r>
      <w:r>
        <w:rPr>
          <w:rFonts w:hint="eastAsia" w:ascii="仿宋_GB2312" w:eastAsia="仿宋_GB2312" w:hAnsiTheme="minorEastAsia"/>
          <w:sz w:val="32"/>
          <w:szCs w:val="32"/>
        </w:rPr>
        <w:t>%,减少的主要原因是</w:t>
      </w:r>
      <w:r>
        <w:rPr>
          <w:rFonts w:hint="eastAsia" w:ascii="仿宋_GB2312" w:eastAsia="仿宋_GB2312" w:hAnsiTheme="minorEastAsia"/>
          <w:sz w:val="32"/>
          <w:szCs w:val="32"/>
          <w:lang w:eastAsia="zh-CN"/>
        </w:rPr>
        <w:t>厉行节约</w:t>
      </w:r>
      <w:r>
        <w:rPr>
          <w:rFonts w:hint="eastAsia" w:ascii="仿宋_GB2312" w:eastAsia="仿宋_GB2312" w:hAnsiTheme="minorEastAsia"/>
          <w:sz w:val="32"/>
          <w:szCs w:val="32"/>
        </w:rPr>
        <w:t>。</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公务用车购置费及运行维护费支出预算为</w:t>
      </w:r>
      <w:r>
        <w:rPr>
          <w:rFonts w:hint="eastAsia" w:ascii="仿宋_GB2312" w:eastAsia="仿宋_GB2312" w:hAnsiTheme="minorEastAsia"/>
          <w:sz w:val="32"/>
          <w:szCs w:val="32"/>
          <w:lang w:val="en-US" w:eastAsia="zh-CN"/>
        </w:rPr>
        <w:t>29</w:t>
      </w:r>
      <w:r>
        <w:rPr>
          <w:rFonts w:hint="eastAsia" w:ascii="仿宋_GB2312" w:eastAsia="仿宋_GB2312" w:hAnsiTheme="minorEastAsia"/>
          <w:sz w:val="32"/>
          <w:szCs w:val="32"/>
        </w:rPr>
        <w:t>万元，支出决算为</w:t>
      </w:r>
      <w:r>
        <w:rPr>
          <w:rFonts w:hint="eastAsia" w:ascii="仿宋_GB2312" w:eastAsia="仿宋_GB2312" w:hAnsiTheme="minorEastAsia"/>
          <w:sz w:val="32"/>
          <w:szCs w:val="32"/>
          <w:lang w:val="en-US" w:eastAsia="zh-CN"/>
        </w:rPr>
        <w:t>31.49</w:t>
      </w:r>
      <w:r>
        <w:rPr>
          <w:rFonts w:hint="eastAsia" w:ascii="仿宋_GB2312" w:eastAsia="仿宋_GB2312" w:hAnsiTheme="minorEastAsia"/>
          <w:sz w:val="32"/>
          <w:szCs w:val="32"/>
        </w:rPr>
        <w:t>万元，完成预算的</w:t>
      </w:r>
      <w:r>
        <w:rPr>
          <w:rFonts w:hint="eastAsia" w:ascii="仿宋_GB2312" w:eastAsia="仿宋_GB2312" w:hAnsiTheme="minorEastAsia"/>
          <w:sz w:val="32"/>
          <w:szCs w:val="32"/>
          <w:lang w:val="en-US" w:eastAsia="zh-CN"/>
        </w:rPr>
        <w:t>108.59</w:t>
      </w:r>
      <w:r>
        <w:rPr>
          <w:rFonts w:hint="eastAsia" w:ascii="仿宋_GB2312" w:eastAsia="仿宋_GB2312" w:hAnsiTheme="minorEastAsia"/>
          <w:sz w:val="32"/>
          <w:szCs w:val="32"/>
        </w:rPr>
        <w:t>%，决算数</w:t>
      </w:r>
      <w:r>
        <w:rPr>
          <w:rFonts w:hint="eastAsia" w:ascii="仿宋_GB2312" w:eastAsia="仿宋_GB2312" w:hAnsiTheme="minorEastAsia"/>
          <w:sz w:val="32"/>
          <w:szCs w:val="32"/>
          <w:lang w:eastAsia="zh-CN"/>
        </w:rPr>
        <w:t>大</w:t>
      </w:r>
      <w:r>
        <w:rPr>
          <w:rFonts w:hint="eastAsia" w:ascii="仿宋_GB2312" w:eastAsia="仿宋_GB2312" w:hAnsiTheme="minorEastAsia"/>
          <w:sz w:val="32"/>
          <w:szCs w:val="32"/>
        </w:rPr>
        <w:t>于预算数的主要原因是</w:t>
      </w:r>
      <w:r>
        <w:rPr>
          <w:rFonts w:hint="eastAsia" w:ascii="仿宋_GB2312" w:eastAsia="仿宋_GB2312" w:hAnsiTheme="minorEastAsia"/>
          <w:sz w:val="32"/>
          <w:szCs w:val="32"/>
          <w:lang w:eastAsia="zh-CN"/>
        </w:rPr>
        <w:t>新车购保险增加及新车油耗增加</w:t>
      </w:r>
      <w:r>
        <w:rPr>
          <w:rFonts w:hint="eastAsia" w:ascii="仿宋_GB2312" w:eastAsia="仿宋_GB2312" w:hAnsiTheme="minorEastAsia"/>
          <w:sz w:val="32"/>
          <w:szCs w:val="32"/>
        </w:rPr>
        <w:t>，与上年相比增加</w:t>
      </w:r>
      <w:r>
        <w:rPr>
          <w:rFonts w:hint="eastAsia" w:ascii="仿宋_GB2312" w:eastAsia="仿宋_GB2312" w:hAnsiTheme="minorEastAsia"/>
          <w:sz w:val="32"/>
          <w:szCs w:val="32"/>
          <w:lang w:val="en-US" w:eastAsia="zh-CN"/>
        </w:rPr>
        <w:t>27.59</w:t>
      </w:r>
      <w:r>
        <w:rPr>
          <w:rFonts w:hint="eastAsia" w:ascii="仿宋_GB2312" w:eastAsia="仿宋_GB2312" w:hAnsiTheme="minorEastAsia"/>
          <w:sz w:val="32"/>
          <w:szCs w:val="32"/>
        </w:rPr>
        <w:t>万元，增长</w:t>
      </w:r>
      <w:r>
        <w:rPr>
          <w:rFonts w:hint="eastAsia" w:ascii="仿宋_GB2312" w:eastAsia="仿宋_GB2312" w:hAnsiTheme="minorEastAsia"/>
          <w:sz w:val="32"/>
          <w:szCs w:val="32"/>
          <w:lang w:val="en-US" w:eastAsia="zh-CN"/>
        </w:rPr>
        <w:t>707.44</w:t>
      </w:r>
      <w:r>
        <w:rPr>
          <w:rFonts w:hint="eastAsia" w:ascii="仿宋_GB2312" w:eastAsia="仿宋_GB2312" w:hAnsiTheme="minorEastAsia"/>
          <w:sz w:val="32"/>
          <w:szCs w:val="32"/>
        </w:rPr>
        <w:t>%,增长的主要原因是</w:t>
      </w:r>
      <w:r>
        <w:rPr>
          <w:rFonts w:hint="eastAsia" w:ascii="仿宋_GB2312" w:eastAsia="仿宋_GB2312" w:hAnsiTheme="minorEastAsia"/>
          <w:sz w:val="32"/>
          <w:szCs w:val="32"/>
          <w:lang w:eastAsia="zh-CN"/>
        </w:rPr>
        <w:t>购置新车费用</w:t>
      </w:r>
      <w:r>
        <w:rPr>
          <w:rFonts w:hint="eastAsia" w:ascii="仿宋_GB2312" w:eastAsia="仿宋_GB2312" w:hAnsiTheme="minorEastAsia"/>
          <w:sz w:val="32"/>
          <w:szCs w:val="32"/>
        </w:rPr>
        <w:t>。</w:t>
      </w:r>
    </w:p>
    <w:p>
      <w:pPr>
        <w:pStyle w:val="9"/>
        <w:ind w:firstLine="640" w:firstLineChars="200"/>
        <w:rPr>
          <w:rFonts w:asciiTheme="minorEastAsia" w:hAnsiTheme="minorEastAsia" w:eastAsiaTheme="minorEastAsia"/>
          <w:b/>
          <w:sz w:val="32"/>
          <w:szCs w:val="32"/>
        </w:rPr>
      </w:pPr>
      <w:r>
        <w:rPr>
          <w:rFonts w:hint="eastAsia" w:ascii="仿宋_GB2312" w:eastAsia="仿宋_GB2312" w:hAnsiTheme="minorEastAsia"/>
          <w:b/>
          <w:sz w:val="32"/>
          <w:szCs w:val="32"/>
        </w:rPr>
        <w:t>（二）“三公”经费财政拨款支出决算具体情况说明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2020年度“三公”经费财政拨款支出决算中，公务接待费支出决算</w:t>
      </w:r>
      <w:r>
        <w:rPr>
          <w:rFonts w:hint="eastAsia" w:ascii="仿宋_GB2312" w:eastAsia="仿宋_GB2312" w:hAnsiTheme="minorEastAsia"/>
          <w:sz w:val="32"/>
          <w:szCs w:val="32"/>
          <w:lang w:val="en-US" w:eastAsia="zh-CN"/>
        </w:rPr>
        <w:t>1.08</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3.32</w:t>
      </w:r>
      <w:r>
        <w:rPr>
          <w:rFonts w:hint="eastAsia" w:ascii="仿宋_GB2312" w:eastAsia="仿宋_GB2312" w:hAnsiTheme="minorEastAsia"/>
          <w:sz w:val="32"/>
          <w:szCs w:val="32"/>
        </w:rPr>
        <w:t>%,因公出国（境）费支出决算</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万元,公务用车购置费及运行维护费支出决算</w:t>
      </w:r>
      <w:r>
        <w:rPr>
          <w:rFonts w:hint="eastAsia" w:ascii="仿宋_GB2312" w:eastAsia="仿宋_GB2312" w:hAnsiTheme="minorEastAsia"/>
          <w:sz w:val="32"/>
          <w:szCs w:val="32"/>
          <w:lang w:val="en-US" w:eastAsia="zh-CN"/>
        </w:rPr>
        <w:t>31.49</w:t>
      </w:r>
      <w:r>
        <w:rPr>
          <w:rFonts w:hint="eastAsia" w:ascii="仿宋_GB2312" w:eastAsia="仿宋_GB2312" w:hAnsiTheme="minorEastAsia"/>
          <w:sz w:val="32"/>
          <w:szCs w:val="32"/>
        </w:rPr>
        <w:t>元，占</w:t>
      </w:r>
      <w:r>
        <w:rPr>
          <w:rFonts w:hint="eastAsia" w:ascii="仿宋_GB2312" w:eastAsia="仿宋_GB2312" w:hAnsiTheme="minorEastAsia"/>
          <w:sz w:val="32"/>
          <w:szCs w:val="32"/>
          <w:lang w:val="en-US" w:eastAsia="zh-CN"/>
        </w:rPr>
        <w:t>96.68</w:t>
      </w:r>
      <w:r>
        <w:rPr>
          <w:rFonts w:hint="eastAsia" w:ascii="仿宋_GB2312" w:eastAsia="仿宋_GB2312" w:hAnsiTheme="minorEastAsia"/>
          <w:sz w:val="32"/>
          <w:szCs w:val="32"/>
        </w:rPr>
        <w:t>%。其中：</w:t>
      </w:r>
    </w:p>
    <w:p>
      <w:pPr>
        <w:pStyle w:val="9"/>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1、因公出国（境）费支出决算为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万元，全年安排因公出国（境）团组</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个，累计</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人次</w:t>
      </w:r>
      <w:r>
        <w:rPr>
          <w:rFonts w:hint="eastAsia" w:ascii="仿宋_GB2312" w:eastAsia="仿宋_GB2312" w:hAnsiTheme="minorEastAsia"/>
          <w:sz w:val="32"/>
          <w:szCs w:val="32"/>
          <w:lang w:eastAsia="zh-CN"/>
        </w:rPr>
        <w:t>。</w:t>
      </w:r>
    </w:p>
    <w:p>
      <w:pPr>
        <w:pStyle w:val="9"/>
        <w:ind w:firstLine="640" w:firstLineChars="2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2、公务接待费支出决算为</w:t>
      </w:r>
      <w:r>
        <w:rPr>
          <w:rFonts w:hint="eastAsia" w:ascii="仿宋_GB2312" w:eastAsia="仿宋_GB2312" w:hAnsiTheme="minorEastAsia"/>
          <w:sz w:val="32"/>
          <w:szCs w:val="32"/>
          <w:lang w:val="en-US" w:eastAsia="zh-CN"/>
        </w:rPr>
        <w:t>1.08</w:t>
      </w:r>
      <w:r>
        <w:rPr>
          <w:rFonts w:hint="eastAsia" w:ascii="仿宋_GB2312" w:eastAsia="仿宋_GB2312" w:hAnsiTheme="minorEastAsia"/>
          <w:sz w:val="32"/>
          <w:szCs w:val="32"/>
        </w:rPr>
        <w:t>万元，全年共接待来访团组</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个、来宾</w:t>
      </w:r>
      <w:r>
        <w:rPr>
          <w:rFonts w:hint="eastAsia" w:ascii="仿宋_GB2312" w:eastAsia="仿宋_GB2312" w:hAnsiTheme="minorEastAsia"/>
          <w:sz w:val="32"/>
          <w:szCs w:val="32"/>
          <w:lang w:val="en-US" w:eastAsia="zh-CN"/>
        </w:rPr>
        <w:t>73</w:t>
      </w:r>
      <w:r>
        <w:rPr>
          <w:rFonts w:hint="eastAsia" w:ascii="仿宋_GB2312" w:eastAsia="仿宋_GB2312" w:hAnsiTheme="minorEastAsia"/>
          <w:sz w:val="32"/>
          <w:szCs w:val="32"/>
        </w:rPr>
        <w:t>人次，主要</w:t>
      </w:r>
      <w:r>
        <w:rPr>
          <w:rFonts w:hint="eastAsia" w:ascii="仿宋_GB2312" w:eastAsia="仿宋_GB2312" w:hAnsiTheme="minorEastAsia"/>
          <w:sz w:val="32"/>
          <w:szCs w:val="32"/>
          <w:lang w:eastAsia="zh-CN"/>
        </w:rPr>
        <w:t>是全国各地前来参观、考察、学习</w:t>
      </w:r>
      <w:r>
        <w:rPr>
          <w:rFonts w:hint="eastAsia" w:ascii="仿宋_GB2312" w:eastAsia="仿宋_GB2312" w:hAnsiTheme="minorEastAsia"/>
          <w:sz w:val="32"/>
          <w:szCs w:val="32"/>
        </w:rPr>
        <w:t>发生</w:t>
      </w:r>
      <w:r>
        <w:rPr>
          <w:rFonts w:hint="eastAsia" w:ascii="仿宋_GB2312" w:eastAsia="仿宋_GB2312" w:hAnsiTheme="minorEastAsia"/>
          <w:sz w:val="32"/>
          <w:szCs w:val="32"/>
          <w:lang w:eastAsia="zh-CN"/>
        </w:rPr>
        <w:t>的</w:t>
      </w:r>
      <w:r>
        <w:rPr>
          <w:rFonts w:hint="eastAsia" w:ascii="仿宋_GB2312" w:eastAsia="仿宋_GB2312" w:hAnsiTheme="minorEastAsia"/>
          <w:sz w:val="32"/>
          <w:szCs w:val="32"/>
        </w:rPr>
        <w:t>接待支出</w:t>
      </w:r>
      <w:r>
        <w:rPr>
          <w:rFonts w:hint="eastAsia" w:ascii="仿宋_GB2312" w:eastAsia="仿宋_GB2312" w:hAnsiTheme="minorEastAsia"/>
          <w:sz w:val="32"/>
          <w:szCs w:val="32"/>
          <w:lang w:val="en-US" w:eastAsia="zh-CN"/>
        </w:rPr>
        <w:t>。</w:t>
      </w:r>
    </w:p>
    <w:p>
      <w:pPr>
        <w:ind w:firstLine="640" w:firstLineChars="200"/>
        <w:rPr>
          <w:rFonts w:hint="eastAsia" w:ascii="仿宋_GB2312" w:eastAsia="仿宋_GB2312" w:cs="黑体" w:hAnsiTheme="minorEastAsia"/>
          <w:color w:val="000000"/>
          <w:kern w:val="0"/>
          <w:sz w:val="32"/>
          <w:szCs w:val="32"/>
        </w:rPr>
      </w:pPr>
      <w:r>
        <w:rPr>
          <w:rFonts w:hint="eastAsia" w:ascii="仿宋_GB2312" w:eastAsia="仿宋_GB2312" w:hAnsiTheme="minorEastAsia"/>
          <w:sz w:val="32"/>
          <w:szCs w:val="32"/>
        </w:rPr>
        <w:t>3、公务用车购置费及运行维护费支出决算为</w:t>
      </w:r>
      <w:r>
        <w:rPr>
          <w:rFonts w:hint="eastAsia" w:ascii="仿宋_GB2312" w:eastAsia="仿宋_GB2312" w:hAnsiTheme="minorEastAsia"/>
          <w:sz w:val="32"/>
          <w:szCs w:val="32"/>
          <w:lang w:val="en-US" w:eastAsia="zh-CN"/>
        </w:rPr>
        <w:t>31.49</w:t>
      </w:r>
      <w:r>
        <w:rPr>
          <w:rFonts w:hint="eastAsia" w:ascii="仿宋_GB2312" w:eastAsia="仿宋_GB2312" w:hAnsiTheme="minorEastAsia"/>
          <w:sz w:val="32"/>
          <w:szCs w:val="32"/>
        </w:rPr>
        <w:t>万元，其中：公务用车购置费</w:t>
      </w:r>
      <w:r>
        <w:rPr>
          <w:rFonts w:hint="eastAsia" w:ascii="仿宋_GB2312" w:eastAsia="仿宋_GB2312" w:hAnsiTheme="minorEastAsia"/>
          <w:sz w:val="32"/>
          <w:szCs w:val="32"/>
          <w:lang w:val="en-US" w:eastAsia="zh-CN"/>
        </w:rPr>
        <w:t>26.66</w:t>
      </w:r>
      <w:r>
        <w:rPr>
          <w:rFonts w:hint="eastAsia" w:ascii="仿宋_GB2312" w:eastAsia="仿宋_GB2312" w:hAnsiTheme="minorEastAsia"/>
          <w:sz w:val="32"/>
          <w:szCs w:val="32"/>
        </w:rPr>
        <w:t>万元，更新公务用车</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辆</w:t>
      </w:r>
      <w:r>
        <w:rPr>
          <w:rFonts w:hint="eastAsia" w:ascii="仿宋_GB2312" w:eastAsia="仿宋_GB2312" w:hAnsiTheme="minorEastAsia"/>
          <w:color w:val="000000" w:themeColor="text1"/>
          <w:sz w:val="32"/>
          <w:szCs w:val="32"/>
          <w14:textFill>
            <w14:solidFill>
              <w14:schemeClr w14:val="tx1"/>
            </w14:solidFill>
          </w14:textFill>
        </w:rPr>
        <w:t>。</w:t>
      </w:r>
      <w:r>
        <w:rPr>
          <w:rFonts w:hint="eastAsia" w:ascii="仿宋_GB2312" w:eastAsia="仿宋_GB2312" w:hAnsiTheme="minorEastAsia"/>
          <w:sz w:val="32"/>
          <w:szCs w:val="32"/>
        </w:rPr>
        <w:t>公务用车运行维护费</w:t>
      </w:r>
      <w:r>
        <w:rPr>
          <w:rFonts w:hint="eastAsia" w:ascii="仿宋_GB2312" w:eastAsia="仿宋_GB2312" w:hAnsiTheme="minorEastAsia"/>
          <w:sz w:val="32"/>
          <w:szCs w:val="32"/>
          <w:lang w:val="en-US" w:eastAsia="zh-CN"/>
        </w:rPr>
        <w:t>4.84</w:t>
      </w:r>
      <w:r>
        <w:rPr>
          <w:rFonts w:hint="eastAsia" w:ascii="仿宋_GB2312" w:eastAsia="仿宋_GB2312" w:hAnsiTheme="minorEastAsia"/>
          <w:sz w:val="32"/>
          <w:szCs w:val="32"/>
        </w:rPr>
        <w:t>万元，主要是</w:t>
      </w:r>
      <w:r>
        <w:rPr>
          <w:rFonts w:hint="eastAsia" w:ascii="仿宋_GB2312" w:eastAsia="仿宋_GB2312" w:cs="黑体" w:hAnsiTheme="minorEastAsia"/>
          <w:color w:val="auto"/>
          <w:kern w:val="0"/>
          <w:sz w:val="32"/>
          <w:szCs w:val="32"/>
        </w:rPr>
        <w:t>燃油费、维修费、保险费等</w:t>
      </w:r>
      <w:r>
        <w:rPr>
          <w:rFonts w:hint="eastAsia" w:ascii="仿宋_GB2312" w:eastAsia="仿宋_GB2312" w:hAnsiTheme="minorEastAsia"/>
          <w:color w:val="auto"/>
          <w:sz w:val="32"/>
          <w:szCs w:val="32"/>
        </w:rPr>
        <w:t>支</w:t>
      </w:r>
      <w:r>
        <w:rPr>
          <w:rFonts w:hint="eastAsia" w:ascii="仿宋_GB2312" w:eastAsia="仿宋_GB2312" w:hAnsiTheme="minorEastAsia"/>
          <w:sz w:val="32"/>
          <w:szCs w:val="32"/>
        </w:rPr>
        <w:t>出，截止2020年12月31日，我单位开支财政拨款的公务用车保有量为</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辆。</w:t>
      </w:r>
    </w:p>
    <w:p>
      <w:pPr>
        <w:pStyle w:val="9"/>
        <w:rPr>
          <w:rFonts w:hAnsi="黑体"/>
          <w:sz w:val="32"/>
          <w:szCs w:val="32"/>
        </w:rPr>
      </w:pPr>
      <w:r>
        <w:rPr>
          <w:rFonts w:hint="eastAsia" w:hAnsi="黑体"/>
          <w:sz w:val="32"/>
          <w:szCs w:val="32"/>
        </w:rPr>
        <w:t>八、政府性基金预算收入支出决算情况</w:t>
      </w:r>
    </w:p>
    <w:p>
      <w:pPr>
        <w:pStyle w:val="9"/>
        <w:ind w:firstLine="640" w:firstLineChars="200"/>
        <w:rPr>
          <w:rFonts w:hint="eastAsia" w:ascii="仿宋_GB2312" w:eastAsia="仿宋_GB2312" w:hAnsiTheme="minorEastAsia"/>
          <w:color w:val="auto"/>
          <w:sz w:val="32"/>
          <w:szCs w:val="32"/>
          <w:lang w:eastAsia="zh-CN"/>
        </w:rPr>
      </w:pPr>
      <w:r>
        <w:rPr>
          <w:rFonts w:hint="eastAsia" w:ascii="仿宋_GB2312" w:eastAsia="仿宋_GB2312" w:hAnsiTheme="minorEastAsia"/>
          <w:color w:val="auto"/>
          <w:sz w:val="32"/>
          <w:szCs w:val="32"/>
        </w:rPr>
        <w:t>本单位没有政府性基金收入，也没有使用政府性基金安排的支出</w:t>
      </w:r>
      <w:r>
        <w:rPr>
          <w:rFonts w:hint="eastAsia" w:ascii="仿宋_GB2312" w:eastAsia="仿宋_GB2312" w:hAnsiTheme="minorEastAsia"/>
          <w:color w:val="auto"/>
          <w:sz w:val="32"/>
          <w:szCs w:val="32"/>
          <w:lang w:eastAsia="zh-CN"/>
        </w:rPr>
        <w:t>。</w:t>
      </w:r>
    </w:p>
    <w:p>
      <w:pPr>
        <w:pStyle w:val="9"/>
        <w:rPr>
          <w:rFonts w:hint="eastAsia" w:hAnsi="黑体"/>
          <w:sz w:val="32"/>
          <w:szCs w:val="32"/>
        </w:rPr>
      </w:pPr>
      <w:r>
        <w:rPr>
          <w:rFonts w:hint="eastAsia" w:hAnsi="黑体"/>
          <w:sz w:val="32"/>
          <w:szCs w:val="32"/>
        </w:rPr>
        <w:t>九、国有资本经营预算支出决算情况</w:t>
      </w:r>
    </w:p>
    <w:p>
      <w:pPr>
        <w:pStyle w:val="9"/>
        <w:ind w:firstLine="640" w:firstLineChars="200"/>
        <w:rPr>
          <w:rFonts w:hint="eastAsia" w:ascii="仿宋_GB2312" w:eastAsia="仿宋_GB2312" w:hAnsiTheme="minorEastAsia"/>
          <w:color w:val="auto"/>
          <w:sz w:val="32"/>
          <w:szCs w:val="32"/>
        </w:rPr>
      </w:pPr>
      <w:r>
        <w:rPr>
          <w:rFonts w:hint="eastAsia" w:ascii="仿宋_GB2312" w:eastAsia="仿宋_GB2312" w:hAnsiTheme="minorEastAsia"/>
          <w:sz w:val="32"/>
          <w:szCs w:val="32"/>
        </w:rPr>
        <w:t>2020年度</w:t>
      </w:r>
      <w:r>
        <w:rPr>
          <w:rFonts w:hint="eastAsia" w:ascii="仿宋_GB2312" w:eastAsia="仿宋_GB2312" w:hAnsiTheme="minorEastAsia"/>
          <w:color w:val="auto"/>
          <w:sz w:val="32"/>
          <w:szCs w:val="32"/>
        </w:rPr>
        <w:t>本单位没有使用国有资本经营预算安排的支出。</w:t>
      </w:r>
    </w:p>
    <w:p>
      <w:pPr>
        <w:pStyle w:val="9"/>
        <w:rPr>
          <w:rFonts w:hAnsi="黑体"/>
          <w:sz w:val="32"/>
          <w:szCs w:val="32"/>
        </w:rPr>
      </w:pPr>
      <w:r>
        <w:rPr>
          <w:rFonts w:hint="eastAsia" w:hAnsi="黑体"/>
          <w:sz w:val="32"/>
          <w:szCs w:val="32"/>
        </w:rPr>
        <w:t>十、2020年度预算绩效情况说明</w:t>
      </w:r>
    </w:p>
    <w:p>
      <w:pPr>
        <w:pStyle w:val="9"/>
        <w:ind w:firstLine="640" w:firstLineChars="200"/>
        <w:rPr>
          <w:rFonts w:hint="eastAsia"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根据预算绩效管理要求，本单位组织对 2020年度部门整体支出开展了绩效自评，从评价情况来看，预算执行及时、有效，绩效目标得到较好实现，绩效管理水平不断提高。</w:t>
      </w:r>
    </w:p>
    <w:p>
      <w:pPr>
        <w:pStyle w:val="9"/>
        <w:ind w:firstLine="640" w:firstLineChars="200"/>
        <w:rPr>
          <w:rFonts w:hint="eastAsia"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部门整体支出绩效评价报告详见第五部分。</w:t>
      </w:r>
    </w:p>
    <w:p>
      <w:pPr>
        <w:pStyle w:val="9"/>
        <w:rPr>
          <w:rFonts w:hAnsi="黑体"/>
          <w:sz w:val="32"/>
          <w:szCs w:val="32"/>
        </w:rPr>
      </w:pPr>
      <w:r>
        <w:rPr>
          <w:rFonts w:hint="eastAsia" w:hAnsi="黑体"/>
          <w:sz w:val="32"/>
          <w:szCs w:val="32"/>
        </w:rPr>
        <w:t>十一、其他重要事项情况说明</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（一）机关运行经费支出说明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2020年度机关运行经费支出</w:t>
      </w:r>
      <w:r>
        <w:rPr>
          <w:rFonts w:hint="eastAsia" w:ascii="仿宋_GB2312" w:eastAsia="仿宋_GB2312" w:hAnsiTheme="minorEastAsia"/>
          <w:sz w:val="32"/>
          <w:szCs w:val="32"/>
          <w:lang w:val="en-US" w:eastAsia="zh-CN"/>
        </w:rPr>
        <w:t>573.38</w:t>
      </w:r>
      <w:r>
        <w:rPr>
          <w:rFonts w:hint="eastAsia" w:ascii="仿宋_GB2312" w:eastAsia="仿宋_GB2312" w:hAnsiTheme="minorEastAsia"/>
          <w:sz w:val="32"/>
          <w:szCs w:val="32"/>
        </w:rPr>
        <w:t>万元，比年初预算数增加</w:t>
      </w:r>
      <w:r>
        <w:rPr>
          <w:rFonts w:hint="eastAsia" w:ascii="仿宋_GB2312" w:eastAsia="仿宋_GB2312" w:hAnsiTheme="minorEastAsia"/>
          <w:sz w:val="32"/>
          <w:szCs w:val="32"/>
          <w:lang w:val="en-US" w:eastAsia="zh-CN"/>
        </w:rPr>
        <w:t>296.12</w:t>
      </w:r>
      <w:r>
        <w:rPr>
          <w:rFonts w:hint="eastAsia" w:ascii="仿宋_GB2312" w:eastAsia="仿宋_GB2312" w:hAnsiTheme="minorEastAsia"/>
          <w:sz w:val="32"/>
          <w:szCs w:val="32"/>
        </w:rPr>
        <w:t xml:space="preserve"> 万元，增长</w:t>
      </w:r>
      <w:r>
        <w:rPr>
          <w:rFonts w:hint="eastAsia" w:ascii="仿宋_GB2312" w:eastAsia="仿宋_GB2312" w:hAnsiTheme="minorEastAsia"/>
          <w:sz w:val="32"/>
          <w:szCs w:val="32"/>
          <w:lang w:val="en-US" w:eastAsia="zh-CN"/>
        </w:rPr>
        <w:t>106.8</w:t>
      </w:r>
      <w:r>
        <w:rPr>
          <w:rFonts w:hint="eastAsia" w:ascii="仿宋_GB2312" w:eastAsia="仿宋_GB2312" w:hAnsiTheme="minorEastAsia"/>
          <w:sz w:val="32"/>
          <w:szCs w:val="32"/>
        </w:rPr>
        <w:t>%,主要原因是：</w:t>
      </w:r>
      <w:r>
        <w:rPr>
          <w:rFonts w:hint="eastAsia" w:ascii="仿宋_GB2312" w:eastAsia="仿宋_GB2312" w:hAnsiTheme="minorEastAsia"/>
          <w:sz w:val="32"/>
          <w:szCs w:val="32"/>
          <w:lang w:eastAsia="zh-CN"/>
        </w:rPr>
        <w:t>市民中心人流量大，基础设施维护维修及因抗击疫情购进大量防护和消毒用品</w:t>
      </w:r>
      <w:r>
        <w:rPr>
          <w:rFonts w:hint="eastAsia" w:ascii="仿宋_GB2312" w:eastAsia="仿宋_GB2312" w:hAnsiTheme="minorEastAsia"/>
          <w:sz w:val="32"/>
          <w:szCs w:val="32"/>
        </w:rPr>
        <w:t>；比上年决算数减少</w:t>
      </w:r>
      <w:r>
        <w:rPr>
          <w:rFonts w:hint="eastAsia" w:ascii="仿宋_GB2312" w:eastAsia="仿宋_GB2312" w:hAnsiTheme="minorEastAsia"/>
          <w:sz w:val="32"/>
          <w:szCs w:val="32"/>
          <w:lang w:val="en-US" w:eastAsia="zh-CN"/>
        </w:rPr>
        <w:t>620.41</w:t>
      </w:r>
      <w:r>
        <w:rPr>
          <w:rFonts w:hint="eastAsia" w:ascii="仿宋_GB2312" w:eastAsia="仿宋_GB2312" w:hAnsiTheme="minorEastAsia"/>
          <w:sz w:val="32"/>
          <w:szCs w:val="32"/>
        </w:rPr>
        <w:t xml:space="preserve"> 万元，降低</w:t>
      </w:r>
      <w:r>
        <w:rPr>
          <w:rFonts w:hint="eastAsia" w:ascii="仿宋_GB2312" w:eastAsia="仿宋_GB2312" w:hAnsiTheme="minorEastAsia"/>
          <w:sz w:val="32"/>
          <w:szCs w:val="32"/>
          <w:lang w:val="en-US" w:eastAsia="zh-CN"/>
        </w:rPr>
        <w:t>51.97</w:t>
      </w:r>
      <w:r>
        <w:rPr>
          <w:rFonts w:hint="eastAsia" w:ascii="仿宋_GB2312" w:eastAsia="仿宋_GB2312" w:hAnsiTheme="minorEastAsia"/>
          <w:sz w:val="32"/>
          <w:szCs w:val="32"/>
        </w:rPr>
        <w:t>%。主要原因是：</w:t>
      </w:r>
      <w:r>
        <w:rPr>
          <w:rFonts w:hint="eastAsia" w:ascii="仿宋_GB2312" w:eastAsia="仿宋_GB2312" w:hAnsiTheme="minorEastAsia"/>
          <w:sz w:val="32"/>
          <w:szCs w:val="32"/>
          <w:lang w:eastAsia="zh-CN"/>
        </w:rPr>
        <w:t>例行节约</w:t>
      </w:r>
      <w:r>
        <w:rPr>
          <w:rFonts w:hint="eastAsia" w:ascii="仿宋_GB2312" w:eastAsia="仿宋_GB2312" w:hAnsiTheme="minorEastAsia"/>
          <w:sz w:val="32"/>
          <w:szCs w:val="32"/>
        </w:rPr>
        <w:t>。</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（二）一般性支出情况说明</w:t>
      </w:r>
    </w:p>
    <w:p>
      <w:pPr>
        <w:pStyle w:val="9"/>
        <w:ind w:firstLine="640" w:firstLineChars="200"/>
        <w:rPr>
          <w:rFonts w:hint="eastAsia" w:ascii="仿宋_GB2312" w:eastAsia="仿宋_GB2312" w:hAnsiTheme="minorEastAsia"/>
          <w:sz w:val="32"/>
          <w:szCs w:val="32"/>
          <w:lang w:eastAsia="zh-CN"/>
        </w:rPr>
      </w:pPr>
      <w:r>
        <w:rPr>
          <w:rFonts w:hint="eastAsia" w:ascii="仿宋_GB2312" w:eastAsia="仿宋_GB2312" w:hAnsiTheme="minorEastAsia"/>
          <w:sz w:val="32"/>
          <w:szCs w:val="32"/>
        </w:rPr>
        <w:t>2020年开支会议费</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万元；开支培训费</w:t>
      </w:r>
      <w:r>
        <w:rPr>
          <w:rFonts w:hint="eastAsia" w:ascii="仿宋_GB2312" w:eastAsia="仿宋_GB2312" w:hAnsiTheme="minorEastAsia"/>
          <w:sz w:val="32"/>
          <w:szCs w:val="32"/>
          <w:lang w:val="en-US" w:eastAsia="zh-CN"/>
        </w:rPr>
        <w:t>0.33</w:t>
      </w:r>
      <w:r>
        <w:rPr>
          <w:rFonts w:hint="eastAsia" w:ascii="仿宋_GB2312" w:eastAsia="仿宋_GB2312" w:hAnsiTheme="minorEastAsia"/>
          <w:sz w:val="32"/>
          <w:szCs w:val="32"/>
        </w:rPr>
        <w:t>万元，用于开展</w:t>
      </w:r>
      <w:r>
        <w:rPr>
          <w:rFonts w:hint="eastAsia" w:ascii="仿宋_GB2312" w:eastAsia="仿宋_GB2312" w:hAnsiTheme="minorEastAsia"/>
          <w:sz w:val="32"/>
          <w:szCs w:val="32"/>
          <w:lang w:eastAsia="zh-CN"/>
        </w:rPr>
        <w:t>党组</w:t>
      </w:r>
      <w:r>
        <w:rPr>
          <w:rFonts w:hint="eastAsia" w:ascii="仿宋_GB2312" w:eastAsia="仿宋_GB2312" w:hAnsiTheme="minorEastAsia"/>
          <w:sz w:val="32"/>
          <w:szCs w:val="32"/>
        </w:rPr>
        <w:t>培训</w:t>
      </w:r>
      <w:r>
        <w:rPr>
          <w:rFonts w:hint="eastAsia" w:ascii="仿宋_GB2312" w:eastAsia="仿宋_GB2312" w:hAnsiTheme="minorEastAsia"/>
          <w:sz w:val="32"/>
          <w:szCs w:val="32"/>
          <w:lang w:eastAsia="zh-CN"/>
        </w:rPr>
        <w:t>和创文培训各一次</w:t>
      </w:r>
      <w:r>
        <w:rPr>
          <w:rFonts w:hint="eastAsia" w:ascii="仿宋_GB2312" w:eastAsia="仿宋_GB2312" w:hAnsiTheme="minorEastAsia"/>
          <w:sz w:val="32"/>
          <w:szCs w:val="32"/>
        </w:rPr>
        <w:t>，人数</w:t>
      </w:r>
      <w:r>
        <w:rPr>
          <w:rFonts w:hint="eastAsia" w:ascii="仿宋_GB2312" w:eastAsia="仿宋_GB2312" w:hAnsiTheme="minorEastAsia"/>
          <w:sz w:val="32"/>
          <w:szCs w:val="32"/>
          <w:lang w:val="en-US" w:eastAsia="zh-CN"/>
        </w:rPr>
        <w:t>22</w:t>
      </w:r>
      <w:r>
        <w:rPr>
          <w:rFonts w:hint="eastAsia" w:ascii="仿宋_GB2312" w:eastAsia="仿宋_GB2312" w:hAnsiTheme="minorEastAsia"/>
          <w:sz w:val="32"/>
          <w:szCs w:val="32"/>
        </w:rPr>
        <w:t>人</w:t>
      </w:r>
      <w:r>
        <w:rPr>
          <w:rFonts w:hint="eastAsia" w:ascii="仿宋_GB2312" w:eastAsia="仿宋_GB2312" w:hAnsiTheme="minorEastAsia"/>
          <w:sz w:val="32"/>
          <w:szCs w:val="32"/>
          <w:lang w:eastAsia="zh-CN"/>
        </w:rPr>
        <w:t>。</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（三）政府采购支出说明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2020年度政府采购支出总额</w:t>
      </w:r>
      <w:r>
        <w:rPr>
          <w:rFonts w:hint="eastAsia" w:ascii="仿宋_GB2312" w:eastAsia="仿宋_GB2312" w:hAnsiTheme="minorEastAsia"/>
          <w:sz w:val="32"/>
          <w:szCs w:val="32"/>
          <w:lang w:val="en-US" w:eastAsia="zh-CN"/>
        </w:rPr>
        <w:t>1919.87</w:t>
      </w:r>
      <w:r>
        <w:rPr>
          <w:rFonts w:hint="eastAsia" w:ascii="仿宋_GB2312" w:eastAsia="仿宋_GB2312" w:hAnsiTheme="minorEastAsia"/>
          <w:sz w:val="32"/>
          <w:szCs w:val="32"/>
        </w:rPr>
        <w:t>万元，其中：政府采购货物支出</w:t>
      </w:r>
      <w:r>
        <w:rPr>
          <w:rFonts w:hint="eastAsia" w:ascii="仿宋_GB2312" w:eastAsia="仿宋_GB2312" w:hAnsiTheme="minorEastAsia"/>
          <w:sz w:val="32"/>
          <w:szCs w:val="32"/>
          <w:lang w:val="en-US" w:eastAsia="zh-CN"/>
        </w:rPr>
        <w:t>227.02</w:t>
      </w:r>
      <w:r>
        <w:rPr>
          <w:rFonts w:hint="eastAsia" w:ascii="仿宋_GB2312" w:eastAsia="仿宋_GB2312" w:hAnsiTheme="minorEastAsia"/>
          <w:sz w:val="32"/>
          <w:szCs w:val="32"/>
        </w:rPr>
        <w:t>万元、政府采购工程支出</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 xml:space="preserve"> 万元、政府采购服务支出</w:t>
      </w:r>
      <w:r>
        <w:rPr>
          <w:rFonts w:hint="eastAsia" w:ascii="仿宋_GB2312" w:eastAsia="仿宋_GB2312" w:hAnsiTheme="minorEastAsia"/>
          <w:sz w:val="32"/>
          <w:szCs w:val="32"/>
          <w:lang w:val="en-US" w:eastAsia="zh-CN"/>
        </w:rPr>
        <w:t>1692.85</w:t>
      </w:r>
      <w:r>
        <w:rPr>
          <w:rFonts w:hint="eastAsia" w:ascii="仿宋_GB2312" w:eastAsia="仿宋_GB2312" w:hAnsiTheme="minorEastAsia"/>
          <w:sz w:val="32"/>
          <w:szCs w:val="32"/>
        </w:rPr>
        <w:t>万元。授予中小企业合同金额</w:t>
      </w:r>
      <w:r>
        <w:rPr>
          <w:rFonts w:hint="eastAsia" w:ascii="仿宋_GB2312" w:eastAsia="仿宋_GB2312" w:hAnsiTheme="minorEastAsia"/>
          <w:sz w:val="32"/>
          <w:szCs w:val="32"/>
          <w:lang w:val="en-US" w:eastAsia="zh-CN"/>
        </w:rPr>
        <w:t>319.87</w:t>
      </w:r>
      <w:r>
        <w:rPr>
          <w:rFonts w:hint="eastAsia" w:ascii="仿宋_GB2312" w:eastAsia="仿宋_GB2312" w:hAnsiTheme="minorEastAsia"/>
          <w:sz w:val="32"/>
          <w:szCs w:val="32"/>
        </w:rPr>
        <w:t>万元，占政府采购支出总额的</w:t>
      </w:r>
      <w:r>
        <w:rPr>
          <w:rFonts w:hint="eastAsia" w:ascii="仿宋_GB2312" w:eastAsia="仿宋_GB2312" w:hAnsiTheme="minorEastAsia"/>
          <w:sz w:val="32"/>
          <w:szCs w:val="32"/>
          <w:lang w:val="en-US" w:eastAsia="zh-CN"/>
        </w:rPr>
        <w:t>16.66</w:t>
      </w:r>
      <w:r>
        <w:rPr>
          <w:rFonts w:hint="eastAsia" w:ascii="仿宋_GB2312" w:eastAsia="仿宋_GB2312" w:hAnsiTheme="minorEastAsia"/>
          <w:sz w:val="32"/>
          <w:szCs w:val="32"/>
        </w:rPr>
        <w:t>%，其中：授予小微企业合同金额</w:t>
      </w:r>
      <w:r>
        <w:rPr>
          <w:rFonts w:hint="eastAsia" w:ascii="仿宋_GB2312" w:eastAsia="仿宋_GB2312" w:hAnsiTheme="minorEastAsia"/>
          <w:sz w:val="32"/>
          <w:szCs w:val="32"/>
          <w:lang w:val="en-US" w:eastAsia="zh-CN"/>
        </w:rPr>
        <w:t>36.72</w:t>
      </w:r>
      <w:r>
        <w:rPr>
          <w:rFonts w:hint="eastAsia" w:ascii="仿宋_GB2312" w:eastAsia="仿宋_GB2312" w:hAnsiTheme="minorEastAsia"/>
          <w:sz w:val="32"/>
          <w:szCs w:val="32"/>
        </w:rPr>
        <w:t>万元，占政府采购支出总额的</w:t>
      </w:r>
      <w:r>
        <w:rPr>
          <w:rFonts w:hint="eastAsia" w:ascii="仿宋_GB2312" w:eastAsia="仿宋_GB2312" w:hAnsiTheme="minorEastAsia"/>
          <w:sz w:val="32"/>
          <w:szCs w:val="32"/>
          <w:lang w:val="en-US" w:eastAsia="zh-CN"/>
        </w:rPr>
        <w:t>1.91</w:t>
      </w:r>
      <w:r>
        <w:rPr>
          <w:rFonts w:hint="eastAsia" w:ascii="仿宋_GB2312" w:eastAsia="仿宋_GB2312" w:hAnsiTheme="minorEastAsia"/>
          <w:sz w:val="32"/>
          <w:szCs w:val="32"/>
        </w:rPr>
        <w:t>%。</w:t>
      </w:r>
    </w:p>
    <w:p>
      <w:pPr>
        <w:pStyle w:val="9"/>
        <w:ind w:firstLine="640" w:firstLineChars="200"/>
        <w:rPr>
          <w:rFonts w:ascii="仿宋_GB2312" w:eastAsia="仿宋_GB2312" w:hAnsiTheme="minorEastAsia"/>
          <w:b/>
          <w:sz w:val="32"/>
          <w:szCs w:val="32"/>
        </w:rPr>
      </w:pPr>
      <w:r>
        <w:rPr>
          <w:rFonts w:hint="eastAsia" w:ascii="仿宋_GB2312" w:eastAsia="仿宋_GB2312" w:hAnsiTheme="minorEastAsia"/>
          <w:b/>
          <w:sz w:val="32"/>
          <w:szCs w:val="32"/>
        </w:rPr>
        <w:t>（四）国有资产占用情况说明</w:t>
      </w:r>
    </w:p>
    <w:p>
      <w:pPr>
        <w:pStyle w:val="9"/>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截至2020年12月31日，共有车辆</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辆，其中，应急保障用车</w:t>
      </w:r>
      <w:r>
        <w:rPr>
          <w:rFonts w:hint="eastAsia" w:ascii="仿宋_GB2312" w:eastAsia="仿宋_GB2312" w:hAnsiTheme="minorEastAsia"/>
          <w:sz w:val="32"/>
          <w:szCs w:val="32"/>
          <w:lang w:val="en-US" w:eastAsia="zh-CN"/>
        </w:rPr>
        <w:t>1</w:t>
      </w:r>
      <w:r>
        <w:rPr>
          <w:rFonts w:hint="eastAsia" w:ascii="仿宋_GB2312" w:eastAsia="仿宋_GB2312" w:hAnsiTheme="minorEastAsia"/>
          <w:sz w:val="32"/>
          <w:szCs w:val="32"/>
        </w:rPr>
        <w:t>辆；单位价值50万元以上通用设备</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台（套）；单位价值100万元以上专用设备</w:t>
      </w:r>
      <w:r>
        <w:rPr>
          <w:rFonts w:hint="eastAsia" w:ascii="仿宋_GB2312" w:eastAsia="仿宋_GB2312" w:hAnsiTheme="minorEastAsia"/>
          <w:sz w:val="32"/>
          <w:szCs w:val="32"/>
          <w:lang w:val="en-US" w:eastAsia="zh-CN"/>
        </w:rPr>
        <w:t>0</w:t>
      </w:r>
      <w:r>
        <w:rPr>
          <w:rFonts w:hint="eastAsia" w:ascii="仿宋_GB2312" w:eastAsia="仿宋_GB2312" w:hAnsiTheme="minorEastAsia"/>
          <w:sz w:val="32"/>
          <w:szCs w:val="32"/>
        </w:rPr>
        <w:t xml:space="preserve">台（套）。 </w:t>
      </w:r>
    </w:p>
    <w:p>
      <w:pPr>
        <w:pStyle w:val="9"/>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（五）其他</w:t>
      </w:r>
    </w:p>
    <w:p>
      <w:pPr>
        <w:pStyle w:val="9"/>
        <w:ind w:firstLine="640" w:firstLineChars="200"/>
        <w:rPr>
          <w:rFonts w:asciiTheme="minorEastAsia" w:hAnsiTheme="minorEastAsia" w:eastAsiaTheme="minorEastAsia"/>
          <w:i/>
          <w:color w:val="FF000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一、 财政拨款收入：指单位从同级财政部门取得的财政预算资金。</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二、事业收入：指事业单位开展专业业务活动及辅助活动取得的收入。</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三、经营收入：指事业单位在专业业务活动及其辅助活动之外开展非独立核算经营活动取得的收入。</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四、其他收入：指单位取得的除上述收入以外的各项收入。</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五、使用非财政拨款结余：指事业单位使用以前年度积累的非财政拨款结余弥补当年收支差额的金额</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六、年初结转和结余：指单位以前年度尚未完成、结转到本年仍按原规定用途继续使用的资金，或项目已完成等产生的结余资金。</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七、“三公经费”支出：指通过财政拨款资金安排的因公出国（境）费、公务用车购置及运行费和公务接待费支出。</w:t>
      </w:r>
    </w:p>
    <w:p>
      <w:pPr>
        <w:ind w:firstLine="640" w:firstLineChars="200"/>
        <w:jc w:val="left"/>
        <w:rPr>
          <w:rFonts w:hint="eastAsia"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八、机关运行经费：指为保障行政单位（包括参照公务员法管理的事业单位）运行用于购买货物和服务的各项资金。</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p>
    <w:p>
      <w:pPr>
        <w:widowControl/>
        <w:jc w:val="left"/>
        <w:rPr>
          <w:rFonts w:eastAsia="黑体" w:cs="黑体" w:asciiTheme="minorEastAsia" w:hAnsiTheme="minorEastAsia"/>
          <w:color w:val="000000"/>
          <w:kern w:val="0"/>
          <w:sz w:val="32"/>
          <w:szCs w:val="32"/>
        </w:rPr>
      </w:pPr>
      <w:r>
        <w:rPr>
          <w:rFonts w:asciiTheme="minorEastAsia" w:hAnsiTheme="minorEastAsia"/>
          <w:sz w:val="32"/>
          <w:szCs w:val="32"/>
        </w:rPr>
        <w:br w:type="page"/>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hint="eastAsia"/>
          <w:kern w:val="0"/>
          <w:sz w:val="36"/>
          <w:szCs w:val="36"/>
        </w:rPr>
      </w:pPr>
      <w:r>
        <w:rPr>
          <w:rFonts w:hint="eastAsia" w:cs="黑体" w:asciiTheme="minorEastAsia" w:hAnsiTheme="minorEastAsia"/>
          <w:b/>
          <w:color w:val="000000"/>
          <w:kern w:val="0"/>
          <w:sz w:val="32"/>
          <w:szCs w:val="32"/>
        </w:rPr>
        <w:t>2020年度部门整体支出绩效评价报告</w:t>
      </w:r>
    </w:p>
    <w:p>
      <w:pPr>
        <w:rPr>
          <w:rFonts w:hint="eastAsia" w:ascii="仿宋" w:hAnsi="仿宋" w:eastAsia="仿宋"/>
          <w:kern w:val="0"/>
          <w:sz w:val="32"/>
          <w:szCs w:val="32"/>
        </w:rPr>
      </w:pPr>
      <w:r>
        <w:rPr>
          <w:rFonts w:hint="eastAsia" w:ascii="仿宋" w:hAnsi="仿宋" w:eastAsia="仿宋"/>
          <w:kern w:val="0"/>
          <w:sz w:val="32"/>
          <w:szCs w:val="32"/>
        </w:rPr>
        <w:t>一、预算单位基本情况</w:t>
      </w:r>
    </w:p>
    <w:p>
      <w:pPr>
        <w:rPr>
          <w:rFonts w:hint="eastAsia" w:ascii="仿宋" w:hAnsi="仿宋" w:eastAsia="仿宋"/>
          <w:kern w:val="0"/>
          <w:sz w:val="32"/>
          <w:szCs w:val="32"/>
        </w:rPr>
      </w:pPr>
      <w:r>
        <w:rPr>
          <w:rFonts w:hint="eastAsia" w:ascii="仿宋" w:hAnsi="仿宋" w:eastAsia="仿宋"/>
          <w:kern w:val="0"/>
          <w:sz w:val="32"/>
          <w:szCs w:val="32"/>
        </w:rPr>
        <w:t>1.单位职能简介:</w:t>
      </w:r>
    </w:p>
    <w:p>
      <w:pPr>
        <w:ind w:firstLine="640" w:firstLineChars="200"/>
        <w:jc w:val="left"/>
        <w:rPr>
          <w:rFonts w:hint="eastAsia" w:ascii="仿宋" w:hAnsi="仿宋" w:eastAsia="仿宋" w:cs="黑体"/>
          <w:color w:val="000000"/>
          <w:kern w:val="0"/>
          <w:sz w:val="32"/>
          <w:szCs w:val="32"/>
        </w:rPr>
      </w:pPr>
      <w:bookmarkStart w:id="1" w:name="OLE_LINK1"/>
      <w:r>
        <w:rPr>
          <w:rFonts w:hint="eastAsia" w:ascii="仿宋" w:hAnsi="仿宋" w:eastAsia="仿宋" w:cs="黑体"/>
          <w:color w:val="000000"/>
          <w:kern w:val="0"/>
          <w:sz w:val="32"/>
          <w:szCs w:val="32"/>
        </w:rPr>
        <w:t>根据根据《中共湖南省委办公厅湖南省人民政府办公厅关于印发&lt;株洲市机构改革方案&gt;的通知》(湘办[2018]57号)精神，设立株洲市行政审批服务局，是市政府工作部门，为市政府直属正处级单位。市行政审批服务局贯彻落实党中央关于行政审批服务工作的方针政策和决策部署，全面落实省委、市委关于行政审批服务工作的部署要求，在履行职责过程中坚持和加强党对行政审批服务工作的集中统一领导。湘办[2018]57号文件规定，本部门主要职责是:</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(一)负责指导、协调、推进全市行政审批制度改革工作。</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(二)统筹协调、监督评估全市政府系统电子政务信息化建设工作;统筹规划、协调指导、监督评估全市数据资源管理和智慧城市建设工作。</w:t>
      </w:r>
      <w:r>
        <w:rPr>
          <w:rFonts w:hint="eastAsia" w:ascii="仿宋" w:hAnsi="仿宋" w:eastAsia="仿宋" w:cs="黑体"/>
          <w:color w:val="000000"/>
          <w:kern w:val="0"/>
          <w:sz w:val="32"/>
          <w:szCs w:val="32"/>
        </w:rPr>
        <w:br w:type="textWrapping"/>
      </w:r>
      <w:r>
        <w:rPr>
          <w:rFonts w:hint="eastAsia" w:ascii="仿宋" w:hAnsi="仿宋" w:eastAsia="仿宋" w:cs="黑体"/>
          <w:color w:val="000000"/>
          <w:kern w:val="0"/>
          <w:sz w:val="32"/>
          <w:szCs w:val="32"/>
        </w:rPr>
        <w:t xml:space="preserve">    (三)协调推进全市“放管服”改革工作。</w:t>
      </w:r>
      <w:r>
        <w:rPr>
          <w:rFonts w:hint="eastAsia" w:ascii="仿宋" w:hAnsi="仿宋" w:eastAsia="仿宋" w:cs="黑体"/>
          <w:color w:val="000000"/>
          <w:kern w:val="0"/>
          <w:sz w:val="32"/>
          <w:szCs w:val="32"/>
        </w:rPr>
        <w:br w:type="textWrapping"/>
      </w:r>
      <w:r>
        <w:rPr>
          <w:rFonts w:hint="eastAsia" w:ascii="仿宋" w:hAnsi="仿宋" w:eastAsia="仿宋" w:cs="黑体"/>
          <w:color w:val="000000"/>
          <w:kern w:val="0"/>
          <w:sz w:val="32"/>
          <w:szCs w:val="32"/>
        </w:rPr>
        <w:t xml:space="preserve">    (四)负责市集中统一办事大厅标准化、规范化建设以及进驻部门和人员的日常管理、培训、监督和考核工作。</w:t>
      </w:r>
      <w:r>
        <w:rPr>
          <w:rFonts w:hint="eastAsia" w:ascii="仿宋" w:hAnsi="仿宋" w:eastAsia="仿宋" w:cs="黑体"/>
          <w:color w:val="000000"/>
          <w:kern w:val="0"/>
          <w:sz w:val="32"/>
          <w:szCs w:val="32"/>
        </w:rPr>
        <w:br w:type="textWrapping"/>
      </w:r>
      <w:r>
        <w:rPr>
          <w:rFonts w:hint="eastAsia" w:ascii="仿宋" w:hAnsi="仿宋" w:eastAsia="仿宋" w:cs="黑体"/>
          <w:color w:val="000000"/>
          <w:kern w:val="0"/>
          <w:sz w:val="32"/>
          <w:szCs w:val="32"/>
        </w:rPr>
        <w:t xml:space="preserve">    (五)完成市委和市政府交办的其他任务。</w:t>
      </w:r>
      <w:r>
        <w:rPr>
          <w:rFonts w:hint="eastAsia" w:ascii="仿宋" w:hAnsi="仿宋" w:eastAsia="仿宋" w:cs="黑体"/>
          <w:color w:val="000000"/>
          <w:kern w:val="0"/>
          <w:sz w:val="32"/>
          <w:szCs w:val="32"/>
        </w:rPr>
        <w:br w:type="textWrapping"/>
      </w:r>
      <w:bookmarkEnd w:id="1"/>
      <w:r>
        <w:rPr>
          <w:rFonts w:hint="eastAsia" w:ascii="仿宋" w:hAnsi="仿宋" w:eastAsia="仿宋" w:cs="黑体"/>
          <w:color w:val="000000"/>
          <w:kern w:val="0"/>
          <w:sz w:val="32"/>
          <w:szCs w:val="32"/>
        </w:rPr>
        <w:t xml:space="preserve">  2.机构情况及人员情况。</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内设科室6个，分别为:办公室、窗口科、 电子政务科、协调推进科、行政审批制度改革科、人事科(机关党总支)暂时</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2020年度部门门整体支出绩效自评报告没有下设单位。本部门共有编制人43数人，2020年年末实有在职人数22人，聘用编外合同工21人。</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二、预算支出及绩效情况。</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1、预决算及信息公开情况。</w:t>
      </w:r>
    </w:p>
    <w:p>
      <w:pPr>
        <w:spacing w:line="520" w:lineRule="exact"/>
        <w:ind w:firstLine="640"/>
        <w:rPr>
          <w:rFonts w:ascii="仿宋" w:hAnsi="仿宋" w:eastAsia="仿宋"/>
          <w:sz w:val="32"/>
          <w:szCs w:val="32"/>
        </w:rPr>
      </w:pPr>
      <w:r>
        <w:rPr>
          <w:rFonts w:hint="eastAsia" w:ascii="仿宋" w:hAnsi="仿宋" w:eastAsia="仿宋" w:cs="黑体"/>
          <w:color w:val="000000"/>
          <w:kern w:val="0"/>
          <w:sz w:val="32"/>
          <w:szCs w:val="32"/>
        </w:rPr>
        <w:t>本单位按市财政统一部署，预算批复下达后在门户网和市财政局统一公开工作网络平台上及时进行了公开。</w:t>
      </w:r>
      <w:r>
        <w:rPr>
          <w:rFonts w:hint="eastAsia" w:ascii="仿宋" w:hAnsi="仿宋" w:eastAsia="仿宋" w:cs="黑体"/>
          <w:color w:val="000000"/>
          <w:kern w:val="0"/>
          <w:sz w:val="32"/>
          <w:szCs w:val="32"/>
        </w:rPr>
        <w:br w:type="textWrapping"/>
      </w:r>
      <w:r>
        <w:rPr>
          <w:rFonts w:hint="eastAsia" w:ascii="仿宋" w:hAnsi="仿宋" w:eastAsia="仿宋" w:cs="黑体"/>
          <w:color w:val="000000"/>
          <w:kern w:val="0"/>
          <w:sz w:val="32"/>
          <w:szCs w:val="32"/>
        </w:rPr>
        <w:t xml:space="preserve">    2、资金使用及绩效情况。</w:t>
      </w:r>
      <w:r>
        <w:rPr>
          <w:rFonts w:hint="eastAsia" w:ascii="仿宋" w:hAnsi="仿宋" w:eastAsia="仿宋" w:cs="黑体"/>
          <w:color w:val="000000"/>
          <w:kern w:val="0"/>
          <w:sz w:val="32"/>
          <w:szCs w:val="32"/>
        </w:rPr>
        <w:br w:type="textWrapping"/>
      </w:r>
      <w:r>
        <w:rPr>
          <w:rFonts w:hint="eastAsia" w:ascii="仿宋" w:hAnsi="仿宋" w:eastAsia="仿宋" w:cs="黑体"/>
          <w:color w:val="000000"/>
          <w:kern w:val="0"/>
          <w:sz w:val="32"/>
          <w:szCs w:val="32"/>
        </w:rPr>
        <w:t xml:space="preserve">    (一)资金使用情况</w:t>
      </w:r>
      <w:r>
        <w:rPr>
          <w:rFonts w:hint="eastAsia" w:ascii="仿宋" w:hAnsi="仿宋" w:eastAsia="仿宋" w:cs="黑体"/>
          <w:color w:val="000000"/>
          <w:kern w:val="0"/>
          <w:sz w:val="32"/>
          <w:szCs w:val="32"/>
        </w:rPr>
        <w:br w:type="textWrapping"/>
      </w:r>
      <w:r>
        <w:rPr>
          <w:rFonts w:hint="eastAsia" w:ascii="仿宋" w:hAnsi="仿宋" w:eastAsia="仿宋" w:cs="黑体"/>
          <w:color w:val="000000"/>
          <w:kern w:val="0"/>
          <w:sz w:val="32"/>
          <w:szCs w:val="32"/>
        </w:rPr>
        <w:t xml:space="preserve">    </w:t>
      </w:r>
      <w:r>
        <w:rPr>
          <w:rFonts w:hint="eastAsia" w:ascii="仿宋" w:hAnsi="仿宋" w:eastAsia="仿宋"/>
          <w:sz w:val="32"/>
          <w:szCs w:val="32"/>
        </w:rPr>
        <w:t>2020年，本部门年初预算支出1,286万元，比上年增减760万元，增长(下降)144.58%，增减变化的主要原因是：相对于2019年，2020年新增了项目。其中：基本支出年初预算1,006万元，比上年增减566万元，增长(下降)100%；项目支出年初预算280万元，比上年增减194万元，增长(下降)0%。年度执行中因单位人数变动及单位事权调整，预算跟随调整情况，主要变化是：增加了项目经费。</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 xml:space="preserve"> (二)绩效目标完成情况。</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2020年以来，我局坚持以习近平新时代中国特色社会主义思想为指导，坚决做到“两个维护”，牢固树立“四个意识”，在市委、市政府的领导下，坚持稳中求进、进中争先工作总基调，全面深化“放管服”、“一件事一次办”等重要改革工作。我局加快推进“互联网+政务服务”四级联动建设、“一件事一次办”改革，启动新型智慧城市建设，推进重点建设项目全程代办督办工作，全面提升窗口服务水平，促进我市审批和服务环境优化，助力经济社会又好又快发展。</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1.整体绩效完成情况</w:t>
      </w:r>
    </w:p>
    <w:p>
      <w:pPr>
        <w:spacing w:line="560" w:lineRule="exact"/>
        <w:ind w:firstLine="640" w:firstLineChars="200"/>
        <w:rPr>
          <w:rFonts w:ascii="仿宋" w:hAnsi="仿宋" w:eastAsia="仿宋"/>
          <w:color w:val="000000"/>
          <w:sz w:val="32"/>
          <w:szCs w:val="32"/>
        </w:rPr>
      </w:pPr>
      <w:r>
        <w:rPr>
          <w:rFonts w:hint="eastAsia" w:ascii="仿宋" w:hAnsi="仿宋" w:eastAsia="仿宋" w:cs="黑体"/>
          <w:color w:val="000000"/>
          <w:kern w:val="0"/>
          <w:sz w:val="32"/>
          <w:szCs w:val="32"/>
        </w:rPr>
        <w:t xml:space="preserve"> </w:t>
      </w:r>
      <w:r>
        <w:rPr>
          <w:rFonts w:hint="eastAsia" w:ascii="仿宋" w:hAnsi="仿宋" w:eastAsia="仿宋"/>
          <w:color w:val="000000"/>
          <w:sz w:val="32"/>
          <w:szCs w:val="32"/>
        </w:rPr>
        <w:t>一）多措并举，“放管服”改革纵深发力</w:t>
      </w:r>
    </w:p>
    <w:p>
      <w:pPr>
        <w:spacing w:line="560" w:lineRule="exact"/>
        <w:ind w:firstLine="640" w:firstLineChars="200"/>
        <w:rPr>
          <w:rFonts w:ascii="仿宋" w:hAnsi="仿宋" w:eastAsia="仿宋"/>
          <w:sz w:val="32"/>
          <w:szCs w:val="32"/>
        </w:rPr>
      </w:pPr>
      <w:r>
        <w:rPr>
          <w:rFonts w:ascii="仿宋" w:hAnsi="仿宋" w:eastAsia="仿宋"/>
          <w:color w:val="000000"/>
          <w:sz w:val="32"/>
          <w:szCs w:val="32"/>
        </w:rPr>
        <w:t>1.</w:t>
      </w:r>
      <w:r>
        <w:rPr>
          <w:rFonts w:hint="eastAsia" w:ascii="仿宋" w:hAnsi="仿宋" w:eastAsia="仿宋"/>
          <w:color w:val="000000"/>
          <w:sz w:val="32"/>
          <w:szCs w:val="32"/>
        </w:rPr>
        <w:t>提升服务</w:t>
      </w:r>
      <w:r>
        <w:rPr>
          <w:rFonts w:ascii="仿宋" w:hAnsi="仿宋" w:eastAsia="仿宋"/>
          <w:color w:val="000000"/>
          <w:sz w:val="32"/>
          <w:szCs w:val="32"/>
        </w:rPr>
        <w:t>“</w:t>
      </w:r>
      <w:r>
        <w:rPr>
          <w:rFonts w:hint="eastAsia" w:ascii="仿宋" w:hAnsi="仿宋" w:eastAsia="仿宋"/>
          <w:color w:val="000000"/>
          <w:sz w:val="32"/>
          <w:szCs w:val="32"/>
        </w:rPr>
        <w:t>四减赋能”。按照“减时间、减跑动、减环节、减资料”工作要求，共梳理引用政务服务事项91396项，其中公共服务事项58318个，乡镇（街道）、村（社区）梳理引用基层公共服务和帮代办事项76项</w:t>
      </w:r>
      <w:r>
        <w:rPr>
          <w:rFonts w:hint="eastAsia" w:ascii="仿宋" w:hAnsi="仿宋" w:eastAsia="仿宋"/>
          <w:sz w:val="32"/>
          <w:szCs w:val="32"/>
        </w:rPr>
        <w:t>。政务服务事项实施清单填报率和发布率</w:t>
      </w:r>
      <w:r>
        <w:rPr>
          <w:rFonts w:ascii="仿宋" w:hAnsi="仿宋" w:eastAsia="仿宋"/>
          <w:sz w:val="32"/>
          <w:szCs w:val="32"/>
        </w:rPr>
        <w:t>100%</w:t>
      </w:r>
      <w:r>
        <w:rPr>
          <w:rFonts w:hint="eastAsia" w:ascii="仿宋" w:hAnsi="仿宋" w:eastAsia="仿宋"/>
          <w:sz w:val="32"/>
          <w:szCs w:val="32"/>
        </w:rPr>
        <w:t>，</w:t>
      </w:r>
      <w:r>
        <w:rPr>
          <w:rFonts w:hint="eastAsia" w:ascii="仿宋" w:hAnsi="仿宋" w:eastAsia="仿宋"/>
          <w:sz w:val="32"/>
          <w:szCs w:val="32"/>
          <w:lang w:val="en-US" w:eastAsia="zh-CN"/>
        </w:rPr>
        <w:t>权责</w:t>
      </w:r>
      <w:bookmarkStart w:id="2" w:name="_GoBack"/>
      <w:bookmarkEnd w:id="2"/>
      <w:r>
        <w:rPr>
          <w:rFonts w:hint="eastAsia" w:ascii="仿宋" w:hAnsi="仿宋" w:eastAsia="仿宋"/>
          <w:sz w:val="32"/>
          <w:szCs w:val="32"/>
        </w:rPr>
        <w:t>清单填报率和发布率100%，市本级“互联网+监管”事项认领率、填报率、发布率和问题线索反馈率均为100%，全省第二。</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业务申报</w:t>
      </w:r>
      <w:r>
        <w:rPr>
          <w:rFonts w:ascii="仿宋" w:hAnsi="仿宋" w:eastAsia="仿宋"/>
          <w:color w:val="000000"/>
          <w:sz w:val="32"/>
          <w:szCs w:val="32"/>
        </w:rPr>
        <w:t>“</w:t>
      </w:r>
      <w:r>
        <w:rPr>
          <w:rFonts w:hint="eastAsia" w:ascii="仿宋" w:hAnsi="仿宋" w:eastAsia="仿宋"/>
          <w:color w:val="000000"/>
          <w:sz w:val="32"/>
          <w:szCs w:val="32"/>
        </w:rPr>
        <w:t>三端通达”。窗口端面向40个市直部门1445项行政许可和公共服务事项开展全面梳理，首批选取19个部门462个事项，实现“一窗受理、集成服务”；电脑端加快“智慧株洲”一体化平台、政务服务旗舰店，以及电子证照、电子印章等系统建设应用，实现“一点登陆、无感切换、全程网办”；手机端开发“智慧株洲</w:t>
      </w:r>
      <w:r>
        <w:rPr>
          <w:rFonts w:ascii="仿宋" w:hAnsi="仿宋" w:eastAsia="仿宋"/>
          <w:color w:val="000000"/>
          <w:sz w:val="32"/>
          <w:szCs w:val="32"/>
        </w:rPr>
        <w:t xml:space="preserve"> </w:t>
      </w:r>
      <w:r>
        <w:rPr>
          <w:rFonts w:hint="eastAsia" w:ascii="仿宋" w:hAnsi="仿宋" w:eastAsia="仿宋"/>
          <w:color w:val="000000"/>
          <w:sz w:val="32"/>
          <w:szCs w:val="32"/>
        </w:rPr>
        <w:t>诸事达</w:t>
      </w:r>
      <w:r>
        <w:rPr>
          <w:rFonts w:ascii="仿宋" w:hAnsi="仿宋" w:eastAsia="仿宋"/>
          <w:color w:val="000000"/>
          <w:sz w:val="32"/>
          <w:szCs w:val="32"/>
        </w:rPr>
        <w:t>”APP</w:t>
      </w:r>
      <w:r>
        <w:rPr>
          <w:rFonts w:hint="eastAsia" w:ascii="仿宋" w:hAnsi="仿宋" w:eastAsia="仿宋"/>
          <w:color w:val="000000"/>
          <w:sz w:val="32"/>
          <w:szCs w:val="32"/>
        </w:rPr>
        <w:t>，部署市、县两级政务服务事项2064项。通过政府购买邮政快递免费送达、企业开办免费刻制公章、企业群众免费复印等服务，为主场主体和服务对象节约费用800余万元。</w:t>
      </w:r>
    </w:p>
    <w:p>
      <w:pPr>
        <w:spacing w:line="560" w:lineRule="exact"/>
        <w:ind w:firstLine="640" w:firstLineChars="200"/>
        <w:rPr>
          <w:rFonts w:ascii="仿宋" w:hAnsi="仿宋" w:eastAsia="仿宋"/>
          <w:color w:val="000000"/>
          <w:sz w:val="32"/>
          <w:szCs w:val="32"/>
        </w:rPr>
      </w:pPr>
      <w:r>
        <w:rPr>
          <w:rFonts w:ascii="仿宋" w:hAnsi="仿宋" w:eastAsia="仿宋"/>
          <w:sz w:val="32"/>
          <w:szCs w:val="32"/>
        </w:rPr>
        <w:t>3.</w:t>
      </w:r>
      <w:r>
        <w:rPr>
          <w:rFonts w:hint="eastAsia" w:ascii="仿宋" w:hAnsi="仿宋" w:eastAsia="仿宋"/>
          <w:sz w:val="32"/>
          <w:szCs w:val="32"/>
        </w:rPr>
        <w:t>政务审批“跨域通办”。通过市县乡三级114个实体大厅与“智慧株洲·诸事达”APP、政务服务旗舰店等多途径对接，省发布“一件事一次办”事项在我市全落地，全年共办理347万件。公共卫生许可证发放等196个事项办理实现“最快一小时”，全链条企业开办“五天即办结”，个体工商登记当场办结。同时，为贯彻落实国务院、省政府关于“跨省通办”有关部署，</w:t>
      </w:r>
      <w:r>
        <w:rPr>
          <w:rFonts w:ascii="仿宋" w:hAnsi="仿宋" w:eastAsia="仿宋"/>
          <w:sz w:val="32"/>
          <w:szCs w:val="32"/>
        </w:rPr>
        <w:t>我市完成了与萍乡市、宜春市政务服务“跨省通办”合作协议的签署，成为湖南首批实现政务服务“跨省通办”的城市。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二）统筹推进，“互联网+政务服务”深度融合</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坚持平台统一，推进一网通办。全面建成覆盖市县乡村的“互联网+政务服务”四级联动系统。截止目前，全市103个乡镇（街道）便民服务中心和1387个村（社区）便民服务站已完成规范化提质改造，电子政务外网、政务服务办事系统覆盖率达到100%。全市网上办件数216万件，网民注册数139万，网上可办率达到96%。</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坚持掌上服务，实现一端通达。充分运用人脸识别、CA数字认证、电子签名等技术，在全省率先实现 “一件事一次办”掌上通办。目前，诸事达APP注册用户突破33万，日均活跃用户超过3000人次，不动产、公积金、人社、医保等高频公共服务板块和2064个政务服务事项市民掌上实现“一端通达”，该项工作被省政府推转办作为改革典型进行了书面通报。</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坚持重点突破，加强数据共享。出台《株洲市政务数据资源共享开放管理办法（试行）》，已建立部门数据共享交换通道47个，归集55家部门的数据项共计515项。归集人口数据412万条、法人数据53.5万个、电子证照数据160余万条、信用信息数据约1000万条、地理空间数据容量60TB。累计交换总量为4亿余条次，数据总量2亿余条，为改革提供了有力的数据支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三）一站办结，市民中心服务提质增速</w:t>
      </w:r>
    </w:p>
    <w:p>
      <w:pPr>
        <w:spacing w:line="560" w:lineRule="exact"/>
        <w:ind w:firstLine="640" w:firstLineChars="200"/>
        <w:rPr>
          <w:rFonts w:ascii="仿宋" w:hAnsi="仿宋" w:eastAsia="仿宋"/>
          <w:sz w:val="32"/>
          <w:szCs w:val="32"/>
        </w:rPr>
      </w:pPr>
      <w:r>
        <w:rPr>
          <w:rFonts w:ascii="仿宋" w:hAnsi="仿宋" w:eastAsia="仿宋"/>
          <w:sz w:val="32"/>
          <w:szCs w:val="32"/>
        </w:rPr>
        <w:t>1.不断深化办事大厅改革。</w:t>
      </w:r>
      <w:r>
        <w:rPr>
          <w:rFonts w:hint="eastAsia" w:ascii="仿宋" w:hAnsi="仿宋" w:eastAsia="仿宋"/>
          <w:sz w:val="32"/>
          <w:szCs w:val="32"/>
        </w:rPr>
        <w:t>形成《株洲市民中心“三集中三到位”改革问题清单》，向责任单位下发《关于进一步落实“三集中三到位”改革工作的紧急通知》和交办函，新增推进174项政务服务事项进驻市民中心办理，目前，株洲市民中心共进驻部门和单位40家，进驻窗口人员630人，进驻政务服务、公共服务事项1247项。</w:t>
      </w:r>
    </w:p>
    <w:p>
      <w:pPr>
        <w:spacing w:line="560" w:lineRule="exact"/>
        <w:ind w:firstLine="640" w:firstLineChars="200"/>
        <w:rPr>
          <w:rFonts w:ascii="仿宋" w:hAnsi="仿宋" w:eastAsia="仿宋"/>
          <w:color w:val="000000"/>
          <w:sz w:val="32"/>
          <w:szCs w:val="32"/>
        </w:rPr>
      </w:pPr>
      <w:r>
        <w:rPr>
          <w:rFonts w:ascii="仿宋" w:hAnsi="仿宋" w:eastAsia="仿宋"/>
          <w:sz w:val="32"/>
          <w:szCs w:val="32"/>
        </w:rPr>
        <w:t>2.不断提升效能监管水平。出台《株洲市民中心工作人员管</w:t>
      </w:r>
      <w:r>
        <w:rPr>
          <w:rFonts w:hint="eastAsia" w:ascii="仿宋" w:hAnsi="仿宋" w:eastAsia="仿宋"/>
          <w:sz w:val="32"/>
          <w:szCs w:val="32"/>
        </w:rPr>
        <w:t>理办法（试行）》《株洲市民中心大厅进驻人员日常考核办法（试行）》</w:t>
      </w:r>
      <w:r>
        <w:rPr>
          <w:rFonts w:ascii="仿宋" w:hAnsi="仿宋" w:eastAsia="仿宋"/>
          <w:sz w:val="32"/>
          <w:szCs w:val="32"/>
        </w:rPr>
        <w:t>等制度，</w:t>
      </w:r>
      <w:r>
        <w:rPr>
          <w:rFonts w:hint="eastAsia" w:ascii="仿宋" w:hAnsi="仿宋" w:eastAsia="仿宋"/>
          <w:sz w:val="32"/>
          <w:szCs w:val="32"/>
        </w:rPr>
        <w:t>建立了行政效能电子监管动态联络、约谈问责等机制，</w:t>
      </w:r>
      <w:r>
        <w:rPr>
          <w:rFonts w:hint="eastAsia" w:ascii="仿宋" w:hAnsi="仿宋" w:eastAsia="仿宋"/>
          <w:color w:val="000000"/>
          <w:sz w:val="32"/>
          <w:szCs w:val="32"/>
        </w:rPr>
        <w:t>启动对市本级电子监管系统进行提质升级，确保实现全市各级红黄牌零增长。</w:t>
      </w:r>
    </w:p>
    <w:p>
      <w:pPr>
        <w:spacing w:line="560" w:lineRule="exact"/>
        <w:ind w:firstLine="640" w:firstLineChars="200"/>
        <w:rPr>
          <w:rFonts w:ascii="仿宋" w:hAnsi="仿宋" w:eastAsia="仿宋"/>
          <w:sz w:val="32"/>
          <w:szCs w:val="32"/>
        </w:rPr>
      </w:pPr>
      <w:r>
        <w:rPr>
          <w:rFonts w:ascii="仿宋" w:hAnsi="仿宋" w:eastAsia="仿宋"/>
          <w:sz w:val="32"/>
          <w:szCs w:val="32"/>
        </w:rPr>
        <w:t>3.不断推进评价制度建设。</w:t>
      </w:r>
      <w:r>
        <w:rPr>
          <w:rFonts w:hint="eastAsia" w:ascii="仿宋" w:hAnsi="仿宋" w:eastAsia="仿宋"/>
          <w:sz w:val="32"/>
          <w:szCs w:val="32"/>
        </w:rPr>
        <w:t>依托“智慧株洲”政务服务一体化平台（以下简称“一体化平台”），线上线下均能实现办件评价。今年以来，“好差评”评价数为42744条，实际评价数为33422，占评价总数的78.19%。其中好评数42744条，好评率为99.99%，在全省排名靠前。</w:t>
      </w:r>
      <w:r>
        <w:rPr>
          <w:rFonts w:ascii="仿宋" w:hAnsi="仿宋" w:eastAsia="仿宋"/>
          <w:sz w:val="32"/>
          <w:szCs w:val="32"/>
        </w:rPr>
        <w:t>各县市区基本实现“好差评”数据全汇集、结果全公开。</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四）两招三办，产业项目审批高效推进</w:t>
      </w:r>
    </w:p>
    <w:p>
      <w:pPr>
        <w:spacing w:line="560" w:lineRule="exact"/>
        <w:ind w:firstLine="640" w:firstLineChars="200"/>
        <w:rPr>
          <w:rFonts w:ascii="仿宋" w:hAnsi="仿宋" w:eastAsia="仿宋"/>
          <w:sz w:val="32"/>
          <w:szCs w:val="32"/>
        </w:rPr>
      </w:pPr>
      <w:r>
        <w:rPr>
          <w:rFonts w:ascii="仿宋" w:hAnsi="仿宋" w:eastAsia="仿宋"/>
          <w:color w:val="000000"/>
          <w:sz w:val="32"/>
          <w:szCs w:val="32"/>
        </w:rPr>
        <w:t>1.</w:t>
      </w:r>
      <w:r>
        <w:rPr>
          <w:rFonts w:hint="eastAsia" w:ascii="仿宋" w:hAnsi="仿宋" w:eastAsia="仿宋"/>
          <w:color w:val="000000"/>
          <w:sz w:val="32"/>
          <w:szCs w:val="32"/>
        </w:rPr>
        <w:t>做好顶层设计，建立新机制。建立指定代办、部门快办、联合督办“三办”工作机制，共协调服务清水塘重点项目、湖南数据湖、九方装备等160次/个项目，累计接待、答复咨询1000余次。</w:t>
      </w:r>
      <w:r>
        <w:rPr>
          <w:rFonts w:hint="eastAsia" w:ascii="仿宋" w:hAnsi="仿宋" w:eastAsia="仿宋"/>
          <w:sz w:val="32"/>
          <w:szCs w:val="32"/>
        </w:rPr>
        <w:t>以“解剖麻雀”的方式，专题协调推进石峰区三一石油装备等重点产业项目“拿地即开工”。</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夯实基层实践，创立新标杆。构建市、区联动的工程建设审批全流程服务体系，进一步压缩审批快办部门和建设单位（含中介机构）在全流程工程建设中的审批时限，创造了飞山奇项目7个工作日完成11项审批取得《建筑工程施工许可证》和荷塘区中良电气、东裕美耐项目从土地交易摘牌到取得《建筑工程施工许可证》，完成各项审批手续仅用</w:t>
      </w:r>
      <w:r>
        <w:rPr>
          <w:rFonts w:ascii="仿宋" w:hAnsi="仿宋" w:eastAsia="仿宋"/>
          <w:sz w:val="32"/>
          <w:szCs w:val="32"/>
        </w:rPr>
        <w:t>5</w:t>
      </w:r>
      <w:r>
        <w:rPr>
          <w:rFonts w:hint="eastAsia" w:ascii="仿宋" w:hAnsi="仿宋" w:eastAsia="仿宋"/>
          <w:sz w:val="32"/>
          <w:szCs w:val="32"/>
        </w:rPr>
        <w:t>个工作日的</w:t>
      </w:r>
      <w:r>
        <w:rPr>
          <w:rFonts w:ascii="仿宋" w:hAnsi="仿宋" w:eastAsia="仿宋"/>
          <w:sz w:val="32"/>
          <w:szCs w:val="32"/>
        </w:rPr>
        <w:t>“</w:t>
      </w:r>
      <w:r>
        <w:rPr>
          <w:rFonts w:hint="eastAsia" w:ascii="仿宋" w:hAnsi="仿宋" w:eastAsia="仿宋"/>
          <w:sz w:val="32"/>
          <w:szCs w:val="32"/>
        </w:rPr>
        <w:t>拿地即开工”新标杆。</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服务“双比双看”，展现新作为。牵头负责</w:t>
      </w:r>
      <w:r>
        <w:rPr>
          <w:rFonts w:ascii="仿宋" w:hAnsi="仿宋" w:eastAsia="仿宋"/>
          <w:sz w:val="32"/>
          <w:szCs w:val="32"/>
        </w:rPr>
        <w:t>“</w:t>
      </w:r>
      <w:r>
        <w:rPr>
          <w:rFonts w:hint="eastAsia" w:ascii="仿宋" w:hAnsi="仿宋" w:eastAsia="仿宋"/>
          <w:sz w:val="32"/>
          <w:szCs w:val="32"/>
        </w:rPr>
        <w:t>双比双看”大竞赛中</w:t>
      </w:r>
      <w:r>
        <w:rPr>
          <w:rFonts w:ascii="仿宋" w:hAnsi="仿宋" w:eastAsia="仿宋"/>
          <w:sz w:val="32"/>
          <w:szCs w:val="32"/>
        </w:rPr>
        <w:t>“</w:t>
      </w:r>
      <w:r>
        <w:rPr>
          <w:rFonts w:hint="eastAsia" w:ascii="仿宋" w:hAnsi="仿宋" w:eastAsia="仿宋"/>
          <w:sz w:val="32"/>
          <w:szCs w:val="32"/>
        </w:rPr>
        <w:t>比优化环境，看服务质量”专项考核，制定考核评价办法，推进大竞赛活动项目“拿地即开工”，截止1</w:t>
      </w:r>
      <w:r>
        <w:rPr>
          <w:rFonts w:ascii="仿宋" w:hAnsi="仿宋" w:eastAsia="仿宋"/>
          <w:sz w:val="32"/>
          <w:szCs w:val="32"/>
        </w:rPr>
        <w:t>2</w:t>
      </w:r>
      <w:r>
        <w:rPr>
          <w:rFonts w:hint="eastAsia" w:ascii="仿宋" w:hAnsi="仿宋" w:eastAsia="仿宋"/>
          <w:sz w:val="32"/>
          <w:szCs w:val="32"/>
        </w:rPr>
        <w:t>月底，已有</w:t>
      </w:r>
      <w:r>
        <w:rPr>
          <w:rFonts w:ascii="仿宋" w:hAnsi="仿宋" w:eastAsia="仿宋"/>
          <w:sz w:val="32"/>
          <w:szCs w:val="32"/>
        </w:rPr>
        <w:t>71</w:t>
      </w:r>
      <w:r>
        <w:rPr>
          <w:rFonts w:hint="eastAsia" w:ascii="仿宋" w:hAnsi="仿宋" w:eastAsia="仿宋"/>
          <w:sz w:val="32"/>
          <w:szCs w:val="32"/>
        </w:rPr>
        <w:t>个项目取得《建筑工程施工许可证》，产业项目施工图审查平均时限缩减至5个工作日，施工许可审批平均时限缩减至2个工作日。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五）数据赋能，“智慧株洲”建设成效显著</w:t>
      </w:r>
    </w:p>
    <w:p>
      <w:pPr>
        <w:spacing w:line="520" w:lineRule="exact"/>
        <w:ind w:firstLine="640"/>
        <w:rPr>
          <w:rFonts w:ascii="仿宋" w:hAnsi="仿宋" w:eastAsia="仿宋"/>
          <w:sz w:val="32"/>
          <w:szCs w:val="32"/>
        </w:rPr>
      </w:pPr>
      <w:r>
        <w:rPr>
          <w:rFonts w:hint="eastAsia" w:ascii="仿宋" w:hAnsi="仿宋" w:eastAsia="仿宋"/>
          <w:sz w:val="32"/>
          <w:szCs w:val="32"/>
        </w:rPr>
        <w:t>贯彻国家大数据战略，着眼全市“数据中枢”定位，统筹组织、协调和支持市国投集团高质量完成了“十四五”新型智慧城市顶层设计，高水平建成了株洲城市运行综合管理中心，高速度启动了“1+4”城市数智中心和社会综治、综合执法、市场监管、便民服务四大核心应用平台建设，高标准打造了复工复产员工健康大数据平台、雪亮工程等一批重点项目。今年，我市打造的“五个一”数智城市治理创新模式，得到国务院、省政府督查组的高度肯定。</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三、资金管理和绩效存在及下一步改进措施的主要问题</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我单位资金管理和绩效工作挂钩的意识还有待加强，绩效工作绩效考核指标设置还不够完善，在绩效指标量化的科学设置上也有待优化。下一步，我们将把财务绩效与绩效考核工作结合起来，强化财务管理，进一步优化资源配备，提高绩效工作水平。</w:t>
      </w:r>
    </w:p>
    <w:p>
      <w:pPr>
        <w:ind w:firstLine="640" w:firstLineChars="200"/>
        <w:jc w:val="left"/>
        <w:rPr>
          <w:rFonts w:hint="eastAsia" w:ascii="仿宋" w:hAnsi="仿宋" w:eastAsia="仿宋" w:cs="黑体"/>
          <w:color w:val="000000"/>
          <w:kern w:val="0"/>
          <w:sz w:val="32"/>
          <w:szCs w:val="32"/>
        </w:rPr>
      </w:pPr>
      <w:r>
        <w:rPr>
          <w:rFonts w:hint="eastAsia" w:ascii="仿宋" w:hAnsi="仿宋" w:eastAsia="仿宋" w:cs="黑体"/>
          <w:color w:val="000000"/>
          <w:kern w:val="0"/>
          <w:sz w:val="32"/>
          <w:szCs w:val="32"/>
        </w:rPr>
        <w:t xml:space="preserve"> 四、其他需要说明的情况</w:t>
      </w:r>
    </w:p>
    <w:p>
      <w:pPr>
        <w:ind w:firstLine="640" w:firstLineChars="200"/>
        <w:jc w:val="left"/>
        <w:rPr>
          <w:rFonts w:hint="eastAsia" w:cs="黑体" w:asciiTheme="minorEastAsia" w:hAnsiTheme="minorEastAsia" w:eastAsiaTheme="minorEastAsia"/>
          <w:color w:val="000000"/>
          <w:kern w:val="0"/>
          <w:sz w:val="32"/>
          <w:szCs w:val="3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57D2C"/>
    <w:multiLevelType w:val="singleLevel"/>
    <w:tmpl w:val="10B57D2C"/>
    <w:lvl w:ilvl="0" w:tentative="0">
      <w:start w:val="4"/>
      <w:numFmt w:val="decimal"/>
      <w:suff w:val="nothing"/>
      <w:lvlText w:val="%1、"/>
      <w:lvlJc w:val="left"/>
      <w:pPr>
        <w:ind w:left="-1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0029AC"/>
    <w:multiLevelType w:val="multilevel"/>
    <w:tmpl w:val="420029AC"/>
    <w:lvl w:ilvl="0" w:tentative="0">
      <w:start w:val="1"/>
      <w:numFmt w:val="japaneseCounting"/>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47C6"/>
    <w:rsid w:val="000658A3"/>
    <w:rsid w:val="00074155"/>
    <w:rsid w:val="000A3F69"/>
    <w:rsid w:val="00103957"/>
    <w:rsid w:val="00127973"/>
    <w:rsid w:val="00140F3F"/>
    <w:rsid w:val="0014171B"/>
    <w:rsid w:val="00152C6D"/>
    <w:rsid w:val="00162D39"/>
    <w:rsid w:val="001A67DB"/>
    <w:rsid w:val="001C3C29"/>
    <w:rsid w:val="001D51E5"/>
    <w:rsid w:val="001E080D"/>
    <w:rsid w:val="001E53D0"/>
    <w:rsid w:val="001F0C3B"/>
    <w:rsid w:val="00202C82"/>
    <w:rsid w:val="00207248"/>
    <w:rsid w:val="00214427"/>
    <w:rsid w:val="00226CB7"/>
    <w:rsid w:val="00264552"/>
    <w:rsid w:val="00264EF9"/>
    <w:rsid w:val="00265724"/>
    <w:rsid w:val="0027426B"/>
    <w:rsid w:val="003130C4"/>
    <w:rsid w:val="0032192B"/>
    <w:rsid w:val="003479BD"/>
    <w:rsid w:val="003768D5"/>
    <w:rsid w:val="003C47E6"/>
    <w:rsid w:val="003F2CE1"/>
    <w:rsid w:val="00416E61"/>
    <w:rsid w:val="0042790C"/>
    <w:rsid w:val="004506F9"/>
    <w:rsid w:val="004717A2"/>
    <w:rsid w:val="00473DF3"/>
    <w:rsid w:val="00487911"/>
    <w:rsid w:val="00491741"/>
    <w:rsid w:val="004A4495"/>
    <w:rsid w:val="004F4435"/>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106F0"/>
    <w:rsid w:val="0062378F"/>
    <w:rsid w:val="00651EEC"/>
    <w:rsid w:val="00691E8C"/>
    <w:rsid w:val="006978FC"/>
    <w:rsid w:val="006A22C4"/>
    <w:rsid w:val="006A351B"/>
    <w:rsid w:val="006B0422"/>
    <w:rsid w:val="006C1B53"/>
    <w:rsid w:val="006D7730"/>
    <w:rsid w:val="006E5284"/>
    <w:rsid w:val="006F3EB5"/>
    <w:rsid w:val="00702E34"/>
    <w:rsid w:val="00704395"/>
    <w:rsid w:val="00717621"/>
    <w:rsid w:val="00720FF1"/>
    <w:rsid w:val="00727A53"/>
    <w:rsid w:val="00787B42"/>
    <w:rsid w:val="007F3657"/>
    <w:rsid w:val="00812ED5"/>
    <w:rsid w:val="00824A97"/>
    <w:rsid w:val="008277D9"/>
    <w:rsid w:val="0084478C"/>
    <w:rsid w:val="008A3E8D"/>
    <w:rsid w:val="008F5814"/>
    <w:rsid w:val="009237C4"/>
    <w:rsid w:val="00926FA6"/>
    <w:rsid w:val="00944C48"/>
    <w:rsid w:val="00950252"/>
    <w:rsid w:val="00967F5D"/>
    <w:rsid w:val="00993F8F"/>
    <w:rsid w:val="009A0DFB"/>
    <w:rsid w:val="009A0F95"/>
    <w:rsid w:val="009B3ADF"/>
    <w:rsid w:val="009C3B52"/>
    <w:rsid w:val="009E6E9A"/>
    <w:rsid w:val="00A01D2B"/>
    <w:rsid w:val="00A25938"/>
    <w:rsid w:val="00A42218"/>
    <w:rsid w:val="00A603E8"/>
    <w:rsid w:val="00A70249"/>
    <w:rsid w:val="00A92E9F"/>
    <w:rsid w:val="00AC3E54"/>
    <w:rsid w:val="00B33BEA"/>
    <w:rsid w:val="00B57C9F"/>
    <w:rsid w:val="00B63572"/>
    <w:rsid w:val="00B845B3"/>
    <w:rsid w:val="00B85D8B"/>
    <w:rsid w:val="00BB4A40"/>
    <w:rsid w:val="00BC7BC3"/>
    <w:rsid w:val="00BD6C3E"/>
    <w:rsid w:val="00BE3674"/>
    <w:rsid w:val="00C10681"/>
    <w:rsid w:val="00C3049A"/>
    <w:rsid w:val="00C31B1E"/>
    <w:rsid w:val="00C5103B"/>
    <w:rsid w:val="00C77645"/>
    <w:rsid w:val="00CC1260"/>
    <w:rsid w:val="00CE04C3"/>
    <w:rsid w:val="00CE76A0"/>
    <w:rsid w:val="00D148C6"/>
    <w:rsid w:val="00D17A8A"/>
    <w:rsid w:val="00D415BA"/>
    <w:rsid w:val="00D644EE"/>
    <w:rsid w:val="00DA6145"/>
    <w:rsid w:val="00DD06FF"/>
    <w:rsid w:val="00DD5FE9"/>
    <w:rsid w:val="00E00C7A"/>
    <w:rsid w:val="00E10D5E"/>
    <w:rsid w:val="00E37D6C"/>
    <w:rsid w:val="00E55B68"/>
    <w:rsid w:val="00E57C5B"/>
    <w:rsid w:val="00E67BE6"/>
    <w:rsid w:val="00E8683C"/>
    <w:rsid w:val="00EE2C5B"/>
    <w:rsid w:val="00F73A52"/>
    <w:rsid w:val="00F74360"/>
    <w:rsid w:val="00FB462F"/>
    <w:rsid w:val="00FE16FA"/>
    <w:rsid w:val="00FE328A"/>
    <w:rsid w:val="1CAD2589"/>
    <w:rsid w:val="291354B6"/>
    <w:rsid w:val="2C480172"/>
    <w:rsid w:val="38E045D7"/>
    <w:rsid w:val="3F5B001F"/>
    <w:rsid w:val="5C62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C5DA5-50D0-4589-B7B6-2957BD164B8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7029</Words>
  <Characters>7691</Characters>
  <Lines>69</Lines>
  <Paragraphs>19</Paragraphs>
  <TotalTime>23</TotalTime>
  <ScaleCrop>false</ScaleCrop>
  <LinksUpToDate>false</LinksUpToDate>
  <CharactersWithSpaces>7735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2021-07-28T08:53:00Z</dcterms:created>
  <dc:creator>李航 null</dc:creator>
  <cp:lastModifiedBy>UFO</cp:lastModifiedBy>
  <cp:lastPrinted>2021-08-17T02:33:00Z</cp:lastPrinted>
  <dcterms:modified xsi:type="dcterms:W3CDTF">2024-04-11T06:40:57Z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651A9CD0E8434160A8FCB809B52B084A</vt:lpwstr>
  </property>
</Properties>
</file>