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textAlignment w:val="baseline"/>
        <w:rPr>
          <w:rFonts w:hint="default" w:ascii="Times New Roman" w:hAnsi="Times New Roman" w:eastAsia="楷体_GB2312" w:cs="Times New Roman"/>
          <w:color w:val="auto"/>
          <w:spacing w:val="34"/>
          <w:sz w:val="32"/>
          <w:szCs w:val="32"/>
          <w:highlight w:val="none"/>
        </w:rPr>
      </w:pPr>
      <w:r>
        <w:rPr>
          <w:rFonts w:hint="default" w:ascii="Times New Roman" w:hAnsi="Times New Roman" w:eastAsia="楷体_GB2312" w:cs="Times New Roman"/>
          <w:color w:val="auto"/>
          <w:spacing w:val="40"/>
          <w:sz w:val="32"/>
          <w:szCs w:val="32"/>
          <w:highlight w:val="none"/>
        </w:rPr>
        <w:t>区</w:t>
      </w:r>
      <w:r>
        <w:rPr>
          <w:rFonts w:hint="default" w:ascii="Times New Roman" w:hAnsi="Times New Roman" w:eastAsia="楷体_GB2312" w:cs="Times New Roman"/>
          <w:color w:val="auto"/>
          <w:spacing w:val="40"/>
          <w:sz w:val="32"/>
          <w:szCs w:val="32"/>
          <w:highlight w:val="none"/>
          <w:lang w:val="en-US" w:eastAsia="zh-CN"/>
        </w:rPr>
        <w:t>六</w:t>
      </w:r>
      <w:r>
        <w:rPr>
          <w:rFonts w:hint="default" w:ascii="Times New Roman" w:hAnsi="Times New Roman" w:eastAsia="楷体_GB2312" w:cs="Times New Roman"/>
          <w:color w:val="auto"/>
          <w:spacing w:val="40"/>
          <w:sz w:val="32"/>
          <w:szCs w:val="32"/>
          <w:highlight w:val="none"/>
        </w:rPr>
        <w:t>届人</w:t>
      </w:r>
      <w:r>
        <w:rPr>
          <w:rFonts w:hint="default" w:ascii="Times New Roman" w:hAnsi="Times New Roman" w:eastAsia="楷体_GB2312" w:cs="Times New Roman"/>
          <w:color w:val="auto"/>
          <w:spacing w:val="34"/>
          <w:sz w:val="32"/>
          <w:szCs w:val="32"/>
          <w:highlight w:val="none"/>
        </w:rPr>
        <w:t>大</w:t>
      </w:r>
    </w:p>
    <w:p>
      <w:pPr>
        <w:overflowPunct w:val="0"/>
        <w:spacing w:line="600" w:lineRule="exact"/>
        <w:textAlignment w:val="baseline"/>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rPr>
        <w:t>次会议材料</w:t>
      </w:r>
    </w:p>
    <w:p>
      <w:pPr>
        <w:overflowPunct w:val="0"/>
        <w:spacing w:line="600" w:lineRule="exact"/>
        <w:ind w:firstLine="560" w:firstLineChars="200"/>
        <w:textAlignment w:val="baseline"/>
        <w:rPr>
          <w:rFonts w:hint="default" w:ascii="Times New Roman" w:hAnsi="Times New Roman" w:eastAsia="楷体_GB2312" w:cs="Times New Roman"/>
          <w:color w:val="auto"/>
          <w:sz w:val="28"/>
          <w:szCs w:val="28"/>
          <w:highlight w:val="none"/>
        </w:rPr>
      </w:pPr>
    </w:p>
    <w:p>
      <w:pPr>
        <w:pStyle w:val="2"/>
        <w:jc w:val="center"/>
        <w:rPr>
          <w:rFonts w:hint="default" w:ascii="Times New Roman" w:hAnsi="Times New Roman" w:eastAsia="方正小标宋简体" w:cs="Times New Roman"/>
          <w:color w:val="auto"/>
          <w:spacing w:val="-6"/>
          <w:sz w:val="44"/>
          <w:szCs w:val="44"/>
          <w:highlight w:val="none"/>
        </w:rPr>
      </w:pPr>
      <w:r>
        <w:rPr>
          <w:rFonts w:hint="default" w:ascii="Times New Roman" w:hAnsi="Times New Roman" w:eastAsia="方正小标宋简体" w:cs="Times New Roman"/>
          <w:color w:val="auto"/>
          <w:spacing w:val="-6"/>
          <w:sz w:val="44"/>
          <w:szCs w:val="44"/>
          <w:highlight w:val="none"/>
        </w:rPr>
        <w:t>关于株洲市荷塘区2023年国民经济和社会发展计划执行情况与2024年计划草案的报告</w:t>
      </w:r>
    </w:p>
    <w:p>
      <w:pPr>
        <w:overflowPunct w:val="0"/>
        <w:spacing w:line="600" w:lineRule="exact"/>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——2024年</w:t>
      </w:r>
      <w:r>
        <w:rPr>
          <w:rFonts w:hint="default" w:ascii="Times New Roman" w:hAnsi="Times New Roman"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rPr>
        <w:t>月</w:t>
      </w:r>
      <w:r>
        <w:rPr>
          <w:rFonts w:hint="default" w:ascii="Times New Roman" w:hAnsi="Times New Roman" w:eastAsia="楷体_GB2312" w:cs="Times New Roman"/>
          <w:color w:val="auto"/>
          <w:sz w:val="32"/>
          <w:szCs w:val="32"/>
          <w:highlight w:val="none"/>
          <w:lang w:val="en-US" w:eastAsia="zh-CN"/>
        </w:rPr>
        <w:t>30</w:t>
      </w:r>
      <w:r>
        <w:rPr>
          <w:rFonts w:hint="default" w:ascii="Times New Roman" w:hAnsi="Times New Roman" w:eastAsia="楷体_GB2312" w:cs="Times New Roman"/>
          <w:color w:val="auto"/>
          <w:sz w:val="32"/>
          <w:szCs w:val="32"/>
          <w:highlight w:val="none"/>
        </w:rPr>
        <w:t>日在株洲市荷塘区第</w:t>
      </w:r>
      <w:r>
        <w:rPr>
          <w:rFonts w:hint="default" w:ascii="Times New Roman" w:hAnsi="Times New Roman" w:eastAsia="楷体_GB2312" w:cs="Times New Roman"/>
          <w:color w:val="auto"/>
          <w:sz w:val="32"/>
          <w:szCs w:val="32"/>
          <w:highlight w:val="none"/>
          <w:lang w:val="en-US" w:eastAsia="zh-CN"/>
        </w:rPr>
        <w:t>六</w:t>
      </w:r>
      <w:r>
        <w:rPr>
          <w:rFonts w:hint="default" w:ascii="Times New Roman" w:hAnsi="Times New Roman" w:eastAsia="楷体_GB2312" w:cs="Times New Roman"/>
          <w:color w:val="auto"/>
          <w:sz w:val="32"/>
          <w:szCs w:val="32"/>
          <w:highlight w:val="none"/>
        </w:rPr>
        <w:t>届人民代表大会</w:t>
      </w:r>
    </w:p>
    <w:p>
      <w:pPr>
        <w:overflowPunct w:val="0"/>
        <w:spacing w:line="600" w:lineRule="exact"/>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rPr>
        <w:t>次会议上</w:t>
      </w:r>
    </w:p>
    <w:p>
      <w:pPr>
        <w:overflowPunct w:val="0"/>
        <w:spacing w:line="600" w:lineRule="exact"/>
        <w:rPr>
          <w:rFonts w:hint="default" w:ascii="Times New Roman" w:hAnsi="Times New Roman" w:eastAsia="仿宋_GB2312" w:cs="Times New Roman"/>
          <w:color w:val="auto"/>
          <w:sz w:val="32"/>
          <w:szCs w:val="32"/>
          <w:highlight w:val="none"/>
        </w:rPr>
      </w:pPr>
      <w:bookmarkStart w:id="0" w:name="_GoBack"/>
      <w:bookmarkEnd w:id="0"/>
    </w:p>
    <w:p>
      <w:pPr>
        <w:overflowPunct w:val="0"/>
        <w:spacing w:line="600" w:lineRule="exact"/>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各位代表：</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受区人民政府委托，向大会书面报告荷塘区2023年国民经济和社会发展计划执行情况与2024年计划草案，请予</w:t>
      </w:r>
      <w:r>
        <w:rPr>
          <w:rFonts w:hint="default" w:ascii="Times New Roman" w:hAnsi="Times New Roman" w:eastAsia="仿宋_GB2312" w:cs="Times New Roman"/>
          <w:color w:val="auto"/>
          <w:sz w:val="32"/>
          <w:szCs w:val="32"/>
          <w:highlight w:val="none"/>
          <w:lang w:val="en-US" w:eastAsia="zh-CN"/>
        </w:rPr>
        <w:t>审查</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并请各位政协委员和列席会议的同志提出意见。</w:t>
      </w:r>
    </w:p>
    <w:p>
      <w:pPr>
        <w:overflowPunct w:val="0"/>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eastAsia="黑体" w:cs="Times New Roman"/>
          <w:color w:val="auto"/>
          <w:sz w:val="32"/>
          <w:szCs w:val="32"/>
          <w:highlight w:val="none"/>
        </w:rPr>
        <w:t>一、2023年国民经济和社会发展计划执行情况</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w:t>
      </w:r>
      <w:r>
        <w:rPr>
          <w:rFonts w:hint="default" w:ascii="Times New Roman" w:hAnsi="Times New Roman" w:eastAsia="仿宋_GB2312" w:cs="Times New Roman"/>
          <w:color w:val="auto"/>
          <w:kern w:val="21"/>
          <w:sz w:val="32"/>
          <w:szCs w:val="32"/>
          <w:highlight w:val="none"/>
        </w:rPr>
        <w:t>是深入贯彻党的二十大精神、开启中国式现代化新征程的第一年，是三年新冠疫情防控转段后经济恢复发展的一年，</w:t>
      </w:r>
      <w:r>
        <w:rPr>
          <w:rFonts w:hint="default" w:ascii="Times New Roman" w:hAnsi="Times New Roman" w:eastAsia="仿宋_GB2312" w:cs="Times New Roman"/>
          <w:color w:val="auto"/>
          <w:sz w:val="32"/>
          <w:szCs w:val="32"/>
          <w:highlight w:val="none"/>
        </w:rPr>
        <w:t>也是实施“十四五”规划承上启下的关键之年。全区上下在区委、区政府的正确领导下，在区人大、区政协的监督支持下，我们坚定不移贯彻</w:t>
      </w:r>
      <w:r>
        <w:rPr>
          <w:rFonts w:hint="default" w:ascii="Times New Roman" w:hAnsi="Times New Roman" w:eastAsia="仿宋_GB2312" w:cs="Times New Roman"/>
          <w:color w:val="auto"/>
          <w:kern w:val="21"/>
          <w:sz w:val="32"/>
          <w:szCs w:val="32"/>
          <w:highlight w:val="none"/>
        </w:rPr>
        <w:t>落实习近平总书记重要讲话指示批示精神及党中央、省委、市委决策部署，</w:t>
      </w:r>
      <w:r>
        <w:rPr>
          <w:rFonts w:hint="default" w:ascii="Times New Roman" w:hAnsi="Times New Roman" w:eastAsia="仿宋_GB2312" w:cs="Times New Roman"/>
          <w:color w:val="auto"/>
          <w:sz w:val="32"/>
          <w:szCs w:val="32"/>
          <w:highlight w:val="none"/>
          <w:lang w:val="en-US" w:eastAsia="zh-CN"/>
        </w:rPr>
        <w:t>聚力</w:t>
      </w:r>
      <w:r>
        <w:rPr>
          <w:rFonts w:hint="default" w:ascii="Times New Roman" w:hAnsi="Times New Roman" w:eastAsia="仿宋_GB2312" w:cs="Times New Roman"/>
          <w:color w:val="auto"/>
          <w:sz w:val="32"/>
          <w:szCs w:val="32"/>
          <w:highlight w:val="none"/>
        </w:rPr>
        <w:t>“三高四新”使命任务，全面打好“发展六仗”，按照“聚焦、裂变、创新、升级、品牌”工作思路，深入推进“项目攻坚年”和“作风建设年”活动，</w:t>
      </w:r>
      <w:r>
        <w:rPr>
          <w:rFonts w:hint="default" w:ascii="Times New Roman" w:hAnsi="Times New Roman" w:eastAsia="仿宋_GB2312" w:cs="Times New Roman"/>
          <w:color w:val="auto"/>
          <w:kern w:val="21"/>
          <w:sz w:val="32"/>
          <w:szCs w:val="32"/>
          <w:highlight w:val="none"/>
        </w:rPr>
        <w:t>不断加快“三个高地”建设，</w:t>
      </w:r>
      <w:r>
        <w:rPr>
          <w:rFonts w:hint="default" w:ascii="Times New Roman" w:hAnsi="Times New Roman" w:eastAsia="仿宋_GB2312" w:cs="Times New Roman"/>
          <w:color w:val="auto"/>
          <w:sz w:val="32"/>
          <w:szCs w:val="32"/>
          <w:highlight w:val="none"/>
          <w:shd w:val="clear" w:color="auto" w:fill="FFFFFF"/>
        </w:rPr>
        <w:t>统筹推进十项专题行动，</w:t>
      </w:r>
      <w:r>
        <w:rPr>
          <w:rFonts w:hint="default" w:ascii="Times New Roman" w:hAnsi="Times New Roman" w:eastAsia="仿宋_GB2312" w:cs="Times New Roman"/>
          <w:color w:val="auto"/>
          <w:sz w:val="32"/>
          <w:szCs w:val="32"/>
          <w:highlight w:val="none"/>
        </w:rPr>
        <w:t>牢守安全发展底线，全面深化改革开放，推动人民生活持续改善，</w:t>
      </w:r>
      <w:r>
        <w:rPr>
          <w:rFonts w:hint="default" w:ascii="Times New Roman" w:hAnsi="Times New Roman" w:eastAsia="仿宋_GB2312" w:cs="Times New Roman"/>
          <w:color w:val="auto"/>
          <w:kern w:val="21"/>
          <w:sz w:val="32"/>
          <w:szCs w:val="32"/>
          <w:highlight w:val="none"/>
        </w:rPr>
        <w:t>现代化新荷塘建设迈出新步伐、取得新成效，基层治理先行区建设实现双向奔赴、“两城”建设取得新的突破。我们坚持面向经济主战场，坚持稳字当头、稳中求进，做好“十四五”规划纲要中期评估工作，确保经济平稳运行。全年地区生产总值实现285.2亿元，同比增长3.7%；规模工业增加值66.15亿元，同比增长3.6%；社会消费品零售总额99.3亿元，同比增长6.4%；城乡居民人均可支配收入60314元，同比增长4.1%；地方一般公共预算收入</w:t>
      </w:r>
      <w:r>
        <w:rPr>
          <w:rFonts w:hint="default" w:ascii="Times New Roman" w:hAnsi="Times New Roman" w:eastAsia="仿宋_GB2312" w:cs="Times New Roman"/>
          <w:color w:val="auto"/>
          <w:kern w:val="21"/>
          <w:sz w:val="32"/>
          <w:szCs w:val="32"/>
          <w:highlight w:val="none"/>
          <w:lang w:val="en-US" w:eastAsia="zh-CN"/>
        </w:rPr>
        <w:t>3.94</w:t>
      </w:r>
      <w:r>
        <w:rPr>
          <w:rFonts w:hint="default" w:ascii="Times New Roman" w:hAnsi="Times New Roman" w:eastAsia="仿宋_GB2312" w:cs="Times New Roman"/>
          <w:color w:val="auto"/>
          <w:kern w:val="21"/>
          <w:sz w:val="32"/>
          <w:szCs w:val="32"/>
          <w:highlight w:val="none"/>
        </w:rPr>
        <w:t>亿元，地方税收3.3亿元；固定资产投资136.8亿元；主要经济指标运行在合理区间，趋势向好，“四上”企业完成72家。</w:t>
      </w:r>
    </w:p>
    <w:p>
      <w:pPr>
        <w:overflowPunct w:val="0"/>
        <w:spacing w:line="600" w:lineRule="exact"/>
        <w:ind w:firstLine="643" w:firstLineChars="200"/>
        <w:rPr>
          <w:rFonts w:hint="default" w:ascii="Times New Roman" w:hAnsi="Times New Roman" w:eastAsia="仿宋_GB2312" w:cs="Times New Roman"/>
          <w:color w:val="auto"/>
          <w:kern w:val="21"/>
          <w:sz w:val="32"/>
          <w:szCs w:val="32"/>
          <w:highlight w:val="none"/>
        </w:rPr>
      </w:pPr>
      <w:r>
        <w:rPr>
          <w:rFonts w:hint="default" w:ascii="Times New Roman" w:hAnsi="Times New Roman" w:eastAsia="楷体_GB2312" w:cs="Times New Roman"/>
          <w:b/>
          <w:color w:val="auto"/>
          <w:sz w:val="32"/>
          <w:szCs w:val="32"/>
          <w:highlight w:val="none"/>
          <w:shd w:val="clear" w:color="auto" w:fill="FFFFFF"/>
        </w:rPr>
        <w:t>（一）着力支持实体经济，三次产业发展协同发力</w:t>
      </w:r>
    </w:p>
    <w:p>
      <w:pPr>
        <w:pStyle w:val="5"/>
        <w:overflowPunct w:val="0"/>
        <w:spacing w:line="600" w:lineRule="exact"/>
        <w:ind w:firstLine="643"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color w:val="auto"/>
          <w:sz w:val="32"/>
          <w:szCs w:val="32"/>
          <w:highlight w:val="none"/>
          <w:shd w:val="clear" w:color="auto" w:fill="FFFFFF"/>
        </w:rPr>
        <w:t>现代农业提质增效。</w:t>
      </w:r>
      <w:r>
        <w:rPr>
          <w:rFonts w:hint="default" w:ascii="Times New Roman" w:hAnsi="Times New Roman" w:eastAsia="仿宋_GB2312" w:cs="Times New Roman"/>
          <w:color w:val="auto"/>
          <w:sz w:val="32"/>
          <w:szCs w:val="32"/>
          <w:highlight w:val="none"/>
          <w:shd w:val="clear" w:color="auto" w:fill="FFFFFF"/>
        </w:rPr>
        <w:t>实现农业总产值</w:t>
      </w:r>
      <w:r>
        <w:rPr>
          <w:rFonts w:hint="default" w:ascii="Times New Roman" w:hAnsi="Times New Roman" w:eastAsia="仿宋_GB2312" w:cs="Times New Roman"/>
          <w:color w:val="auto"/>
          <w:sz w:val="32"/>
          <w:szCs w:val="32"/>
          <w:highlight w:val="none"/>
          <w:shd w:val="clear" w:color="auto" w:fill="FFFFFF"/>
          <w:lang w:val="en-US" w:eastAsia="zh-CN"/>
        </w:rPr>
        <w:t>6.6</w:t>
      </w:r>
      <w:r>
        <w:rPr>
          <w:rFonts w:hint="default" w:ascii="Times New Roman" w:hAnsi="Times New Roman" w:eastAsia="仿宋_GB2312" w:cs="Times New Roman"/>
          <w:color w:val="auto"/>
          <w:sz w:val="32"/>
          <w:szCs w:val="32"/>
          <w:highlight w:val="none"/>
          <w:shd w:val="clear" w:color="auto" w:fill="FFFFFF"/>
        </w:rPr>
        <w:t>亿元，同比增长</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%。抓好</w:t>
      </w:r>
      <w:r>
        <w:rPr>
          <w:rFonts w:hint="default" w:ascii="Times New Roman" w:hAnsi="Times New Roman" w:eastAsia="仿宋_GB2312" w:cs="Times New Roman"/>
          <w:color w:val="auto"/>
          <w:sz w:val="32"/>
          <w:szCs w:val="32"/>
          <w:highlight w:val="none"/>
        </w:rPr>
        <w:t>粮食生产工作，粮食总产量1.67万吨，全面完成粮食生产面积3.8万亩任务。成功获批2023年</w:t>
      </w:r>
      <w:r>
        <w:rPr>
          <w:rFonts w:hint="default" w:ascii="Times New Roman" w:hAnsi="Times New Roman" w:eastAsia="仿宋_GB2312" w:cs="Times New Roman"/>
          <w:color w:val="auto"/>
          <w:sz w:val="32"/>
          <w:szCs w:val="32"/>
          <w:highlight w:val="none"/>
          <w:lang w:val="en-US" w:eastAsia="zh-CN"/>
        </w:rPr>
        <w:t>国家农村综改项目</w:t>
      </w:r>
      <w:r>
        <w:rPr>
          <w:rFonts w:hint="default" w:ascii="Times New Roman" w:hAnsi="Times New Roman" w:eastAsia="仿宋_GB2312" w:cs="Times New Roman"/>
          <w:color w:val="auto"/>
          <w:sz w:val="32"/>
          <w:szCs w:val="32"/>
          <w:highlight w:val="none"/>
        </w:rPr>
        <w:t>中央财政资金1.5亿元。品牌培育成效突出，湖南兰亭食品有限公司荣获全国农村创业创新创意大赛三等奖，湖南省二等奖，是株洲市唯一获奖企业。加快推进耕食农禅文化园等项目建设，紫轩小舍</w:t>
      </w:r>
      <w:r>
        <w:rPr>
          <w:rFonts w:hint="default" w:ascii="Times New Roman" w:hAnsi="Times New Roman" w:eastAsia="仿宋_GB2312" w:cs="Times New Roman"/>
          <w:color w:val="auto"/>
          <w:sz w:val="32"/>
          <w:szCs w:val="32"/>
          <w:highlight w:val="none"/>
          <w:lang w:eastAsia="zh-CN"/>
        </w:rPr>
        <w:t>入选</w:t>
      </w:r>
      <w:r>
        <w:rPr>
          <w:rFonts w:hint="default" w:ascii="Times New Roman" w:hAnsi="Times New Roman" w:eastAsia="仿宋_GB2312" w:cs="Times New Roman"/>
          <w:color w:val="auto"/>
          <w:sz w:val="32"/>
          <w:szCs w:val="32"/>
          <w:highlight w:val="none"/>
          <w:lang w:val="en-US" w:eastAsia="zh-CN"/>
        </w:rPr>
        <w:t>2023年度湖南</w:t>
      </w:r>
      <w:r>
        <w:rPr>
          <w:rFonts w:hint="default" w:ascii="Times New Roman" w:hAnsi="Times New Roman" w:eastAsia="仿宋_GB2312" w:cs="Times New Roman"/>
          <w:color w:val="auto"/>
          <w:sz w:val="32"/>
          <w:szCs w:val="32"/>
          <w:highlight w:val="none"/>
        </w:rPr>
        <w:t>省四星级旅游民宿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君岚小院、仙庾越野俱乐部获评</w:t>
      </w:r>
      <w:r>
        <w:rPr>
          <w:rFonts w:hint="default" w:ascii="Times New Roman" w:hAnsi="Times New Roman" w:eastAsia="仿宋_GB2312" w:cs="Times New Roman"/>
          <w:color w:val="auto"/>
          <w:sz w:val="32"/>
          <w:szCs w:val="32"/>
          <w:highlight w:val="none"/>
          <w:lang w:eastAsia="zh-CN"/>
        </w:rPr>
        <w:t>湖南</w:t>
      </w:r>
      <w:r>
        <w:rPr>
          <w:rFonts w:hint="default" w:ascii="Times New Roman" w:hAnsi="Times New Roman" w:eastAsia="仿宋_GB2312" w:cs="Times New Roman"/>
          <w:color w:val="auto"/>
          <w:sz w:val="32"/>
          <w:szCs w:val="32"/>
          <w:highlight w:val="none"/>
        </w:rPr>
        <w:t>省四星级乡村旅游区（点）。打造“樟霞古树茶油”、“兴塘丝瓜”特色农业品牌，进一步夯实村集体经济发</w:t>
      </w:r>
      <w:r>
        <w:rPr>
          <w:rFonts w:hint="default" w:ascii="Times New Roman" w:hAnsi="Times New Roman" w:eastAsia="仿宋_GB2312" w:cs="Times New Roman"/>
          <w:color w:val="auto"/>
          <w:sz w:val="31"/>
          <w:szCs w:val="31"/>
          <w:highlight w:val="none"/>
          <w:shd w:val="clear" w:color="auto" w:fill="FFFFFF"/>
        </w:rPr>
        <w:t>展基础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shd w:val="clear" w:color="auto" w:fill="FFFFFF"/>
        </w:rPr>
        <w:t>二次产业稳步恢复。</w:t>
      </w:r>
      <w:r>
        <w:rPr>
          <w:rFonts w:hint="default" w:ascii="Times New Roman" w:hAnsi="Times New Roman" w:eastAsia="仿宋_GB2312" w:cs="Times New Roman"/>
          <w:color w:val="auto"/>
          <w:sz w:val="32"/>
          <w:szCs w:val="32"/>
          <w:highlight w:val="none"/>
        </w:rPr>
        <w:t>工业经济稳中向好，</w:t>
      </w:r>
      <w:r>
        <w:rPr>
          <w:rFonts w:hint="default" w:ascii="Times New Roman" w:hAnsi="Times New Roman" w:eastAsia="仿宋_GB2312" w:cs="Times New Roman"/>
          <w:color w:val="auto"/>
          <w:sz w:val="32"/>
          <w:szCs w:val="32"/>
          <w:highlight w:val="none"/>
          <w:lang w:val="en-US" w:eastAsia="zh-CN"/>
        </w:rPr>
        <w:t>规模</w:t>
      </w:r>
      <w:r>
        <w:rPr>
          <w:rFonts w:hint="default" w:ascii="Times New Roman" w:hAnsi="Times New Roman" w:eastAsia="仿宋_GB2312" w:cs="Times New Roman"/>
          <w:color w:val="auto"/>
          <w:sz w:val="32"/>
          <w:szCs w:val="32"/>
          <w:highlight w:val="none"/>
        </w:rPr>
        <w:t>工业企业完成产值</w:t>
      </w:r>
      <w:r>
        <w:rPr>
          <w:rFonts w:hint="default" w:ascii="Times New Roman" w:hAnsi="Times New Roman" w:eastAsia="仿宋_GB2312" w:cs="Times New Roman"/>
          <w:color w:val="auto"/>
          <w:sz w:val="32"/>
          <w:szCs w:val="32"/>
          <w:highlight w:val="none"/>
          <w:lang w:val="en-US" w:eastAsia="zh-CN"/>
        </w:rPr>
        <w:t>227.56</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%；规</w:t>
      </w:r>
      <w:r>
        <w:rPr>
          <w:rFonts w:hint="eastAsia" w:ascii="Times New Roman" w:hAnsi="Times New Roman" w:eastAsia="仿宋_GB2312" w:cs="Times New Roman"/>
          <w:color w:val="auto"/>
          <w:sz w:val="32"/>
          <w:szCs w:val="32"/>
          <w:highlight w:val="none"/>
          <w:lang w:val="en-US" w:eastAsia="zh-CN"/>
        </w:rPr>
        <w:t>模</w:t>
      </w:r>
      <w:r>
        <w:rPr>
          <w:rFonts w:hint="default" w:ascii="Times New Roman" w:hAnsi="Times New Roman" w:eastAsia="仿宋_GB2312" w:cs="Times New Roman"/>
          <w:color w:val="auto"/>
          <w:sz w:val="32"/>
          <w:szCs w:val="32"/>
          <w:highlight w:val="none"/>
        </w:rPr>
        <w:t>工业增加值</w:t>
      </w:r>
      <w:r>
        <w:rPr>
          <w:rFonts w:hint="default" w:ascii="Times New Roman" w:hAnsi="Times New Roman" w:eastAsia="仿宋_GB2312" w:cs="Times New Roman"/>
          <w:color w:val="auto"/>
          <w:sz w:val="32"/>
          <w:szCs w:val="32"/>
          <w:highlight w:val="none"/>
          <w:lang w:val="en-US" w:eastAsia="zh-CN"/>
        </w:rPr>
        <w:t>66.15</w:t>
      </w:r>
      <w:r>
        <w:rPr>
          <w:rFonts w:hint="default" w:ascii="Times New Roman" w:hAnsi="Times New Roman" w:eastAsia="仿宋_GB2312" w:cs="Times New Roman"/>
          <w:color w:val="auto"/>
          <w:sz w:val="32"/>
          <w:szCs w:val="32"/>
          <w:highlight w:val="none"/>
        </w:rPr>
        <w:t>亿元，同比增长</w:t>
      </w:r>
      <w:r>
        <w:rPr>
          <w:rFonts w:hint="default" w:ascii="Times New Roman" w:hAnsi="Times New Roman" w:eastAsia="仿宋_GB2312" w:cs="Times New Roman"/>
          <w:color w:val="auto"/>
          <w:sz w:val="32"/>
          <w:szCs w:val="32"/>
          <w:highlight w:val="none"/>
          <w:lang w:val="en-US" w:eastAsia="zh-CN"/>
        </w:rPr>
        <w:t>3.6</w:t>
      </w:r>
      <w:r>
        <w:rPr>
          <w:rFonts w:hint="default" w:ascii="Times New Roman" w:hAnsi="Times New Roman" w:eastAsia="仿宋_GB2312" w:cs="Times New Roman"/>
          <w:color w:val="auto"/>
          <w:sz w:val="32"/>
          <w:szCs w:val="32"/>
          <w:highlight w:val="none"/>
        </w:rPr>
        <w:t>%。加强科技创新，科技型中小企业入库2</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家，同比增长</w:t>
      </w:r>
      <w:r>
        <w:rPr>
          <w:rFonts w:hint="default" w:ascii="Times New Roman" w:hAnsi="Times New Roman" w:eastAsia="仿宋_GB2312" w:cs="Times New Roman"/>
          <w:color w:val="auto"/>
          <w:sz w:val="32"/>
          <w:szCs w:val="32"/>
          <w:highlight w:val="none"/>
          <w:lang w:val="en-US" w:eastAsia="zh-CN"/>
        </w:rPr>
        <w:t>96.7</w:t>
      </w:r>
      <w:r>
        <w:rPr>
          <w:rFonts w:hint="default" w:ascii="Times New Roman" w:hAnsi="Times New Roman" w:eastAsia="仿宋_GB2312" w:cs="Times New Roman"/>
          <w:color w:val="auto"/>
          <w:sz w:val="32"/>
          <w:szCs w:val="32"/>
          <w:highlight w:val="none"/>
        </w:rPr>
        <w:t>%，省创新型中小企业3</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家，省级以上“专精特新”中小企业16家，</w:t>
      </w:r>
      <w:r>
        <w:rPr>
          <w:rFonts w:hint="eastAsia" w:ascii="Times New Roman" w:hAnsi="Times New Roman" w:eastAsia="仿宋_GB2312" w:cs="Times New Roman"/>
          <w:color w:val="auto"/>
          <w:sz w:val="32"/>
          <w:szCs w:val="32"/>
          <w:highlight w:val="none"/>
          <w:lang w:val="en-US" w:eastAsia="zh-CN"/>
        </w:rPr>
        <w:t>新增省级单项冠军企业1家，</w:t>
      </w:r>
      <w:r>
        <w:rPr>
          <w:rFonts w:hint="default" w:ascii="Times New Roman" w:hAnsi="Times New Roman" w:eastAsia="仿宋_GB2312" w:cs="Times New Roman"/>
          <w:color w:val="auto"/>
          <w:sz w:val="32"/>
          <w:szCs w:val="32"/>
          <w:highlight w:val="none"/>
        </w:rPr>
        <w:t>新增高新技术企业9家。飞鹿、合盾2家企业成功认定为省级工程技术研究中心。2家企业认定为市级创新平台，4家企业认定为省级创新平台。</w:t>
      </w:r>
      <w:r>
        <w:rPr>
          <w:rFonts w:hint="default" w:ascii="Times New Roman" w:hAnsi="Times New Roman" w:eastAsia="仿宋_GB2312" w:cs="Times New Roman"/>
          <w:b/>
          <w:color w:val="auto"/>
          <w:sz w:val="32"/>
          <w:szCs w:val="32"/>
          <w:highlight w:val="none"/>
          <w:shd w:val="clear" w:color="auto" w:fill="FFFFFF"/>
        </w:rPr>
        <w:t>三次产业较快增长。</w:t>
      </w:r>
      <w:r>
        <w:rPr>
          <w:rFonts w:hint="default" w:ascii="Times New Roman" w:hAnsi="Times New Roman" w:eastAsia="仿宋_GB2312" w:cs="Times New Roman"/>
          <w:color w:val="auto"/>
          <w:sz w:val="32"/>
          <w:szCs w:val="32"/>
          <w:highlight w:val="none"/>
        </w:rPr>
        <w:t>实现规上其他营利性服务业营业收入</w:t>
      </w:r>
      <w:r>
        <w:rPr>
          <w:rFonts w:hint="default" w:ascii="Times New Roman" w:hAnsi="Times New Roman" w:eastAsia="仿宋_GB2312" w:cs="Times New Roman"/>
          <w:color w:val="auto"/>
          <w:sz w:val="32"/>
          <w:szCs w:val="32"/>
          <w:highlight w:val="none"/>
          <w:lang w:val="en-US" w:eastAsia="zh-CN"/>
        </w:rPr>
        <w:t>34.1</w:t>
      </w:r>
      <w:r>
        <w:rPr>
          <w:rFonts w:hint="default" w:ascii="Times New Roman" w:hAnsi="Times New Roman" w:eastAsia="仿宋_GB2312" w:cs="Times New Roman"/>
          <w:color w:val="auto"/>
          <w:sz w:val="32"/>
          <w:szCs w:val="32"/>
          <w:highlight w:val="none"/>
        </w:rPr>
        <w:t>亿元，营利性服务业小升规企业</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家。消费市场快速复苏，成功举办“荷”你一起闹元宵暨新春惠民消费节，汇集130余个商家，带动周边经济消费约2000余万元；承办“荷”你一起</w:t>
      </w:r>
      <w:r>
        <w:rPr>
          <w:rFonts w:hint="default" w:ascii="Times New Roman" w:hAnsi="Times New Roman" w:eastAsia="宋体" w:cs="Times New Roman"/>
          <w:color w:val="auto"/>
          <w:sz w:val="32"/>
          <w:szCs w:val="32"/>
          <w:highlight w:val="none"/>
        </w:rPr>
        <w:t>•</w:t>
      </w:r>
      <w:r>
        <w:rPr>
          <w:rFonts w:hint="default" w:ascii="Times New Roman" w:hAnsi="Times New Roman" w:eastAsia="仿宋_GB2312" w:cs="Times New Roman"/>
          <w:color w:val="auto"/>
          <w:sz w:val="32"/>
          <w:szCs w:val="32"/>
          <w:highlight w:val="none"/>
        </w:rPr>
        <w:t>欢聚一“塘”株洲（国家）汽车城首届汽车消费节，订单量同比增长22%，销售额达到5227万元；举办荷塘潮玩嗨购节暨世贸广场盛大开幕活动，活动前三天营业额破200万，客流量破12万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成功举办株洲市街头足球争霸赛，全网总曝光量</w:t>
      </w:r>
      <w:r>
        <w:rPr>
          <w:rFonts w:hint="default" w:ascii="Times New Roman" w:hAnsi="Times New Roman" w:eastAsia="仿宋_GB2312" w:cs="Times New Roman"/>
          <w:color w:val="auto"/>
          <w:sz w:val="32"/>
          <w:szCs w:val="32"/>
          <w:highlight w:val="none"/>
          <w:lang w:eastAsia="zh-CN"/>
        </w:rPr>
        <w:t>超</w:t>
      </w:r>
      <w:r>
        <w:rPr>
          <w:rFonts w:hint="default" w:ascii="Times New Roman" w:hAnsi="Times New Roman" w:eastAsia="仿宋_GB2312" w:cs="Times New Roman"/>
          <w:color w:val="auto"/>
          <w:sz w:val="32"/>
          <w:szCs w:val="32"/>
          <w:highlight w:val="none"/>
        </w:rPr>
        <w:t>3000万，为商圈夜经济注入了新活力。探索“家门口服务”新消费模式，建成“异业联盟”7个。全年</w:t>
      </w:r>
      <w:r>
        <w:rPr>
          <w:rFonts w:hint="default" w:ascii="Times New Roman" w:hAnsi="Times New Roman" w:eastAsia="仿宋_GB2312" w:cs="Times New Roman"/>
          <w:color w:val="auto"/>
          <w:kern w:val="2"/>
          <w:sz w:val="32"/>
          <w:szCs w:val="32"/>
          <w:highlight w:val="none"/>
          <w:lang w:val="en-US" w:eastAsia="zh-CN" w:bidi="ar-SA"/>
        </w:rPr>
        <w:t>累计实现全社会消费品零售总额99.3亿元，同比增长6.4%。</w:t>
      </w:r>
    </w:p>
    <w:p>
      <w:pPr>
        <w:pStyle w:val="5"/>
        <w:overflowPunct w:val="0"/>
        <w:spacing w:line="600" w:lineRule="exact"/>
        <w:ind w:firstLine="643" w:firstLineChars="200"/>
        <w:jc w:val="both"/>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（二）坚持聚焦“两城”建设，经济发展实力稳步提升</w:t>
      </w:r>
    </w:p>
    <w:p>
      <w:pPr>
        <w:overflowPunct w:val="0"/>
        <w:adjustRightInd w:val="0"/>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产业发展取得突破。</w:t>
      </w:r>
      <w:r>
        <w:rPr>
          <w:rFonts w:hint="default" w:ascii="Times New Roman" w:hAnsi="Times New Roman" w:eastAsia="仿宋_GB2312" w:cs="Times New Roman"/>
          <w:color w:val="auto"/>
          <w:sz w:val="32"/>
          <w:szCs w:val="32"/>
          <w:highlight w:val="none"/>
        </w:rPr>
        <w:t>加强链群建设，成功举办2023中国（株洲）钢铁产业链趋势论坛暨钢材资源对接会，新引入钢材产业链优质企业16家，</w:t>
      </w:r>
      <w:r>
        <w:rPr>
          <w:rFonts w:hint="default" w:ascii="Times New Roman" w:hAnsi="Times New Roman" w:eastAsia="仿宋_GB2312" w:cs="Times New Roman"/>
          <w:bCs/>
          <w:color w:val="auto"/>
          <w:kern w:val="21"/>
          <w:sz w:val="32"/>
          <w:szCs w:val="32"/>
          <w:highlight w:val="none"/>
        </w:rPr>
        <w:t>累计投产企业17家。</w:t>
      </w:r>
      <w:r>
        <w:rPr>
          <w:rFonts w:hint="default" w:ascii="Times New Roman" w:hAnsi="Times New Roman" w:eastAsia="仿宋_GB2312" w:cs="Times New Roman"/>
          <w:color w:val="auto"/>
          <w:sz w:val="32"/>
          <w:szCs w:val="32"/>
          <w:highlight w:val="none"/>
        </w:rPr>
        <w:t>钢铁产业链数字化生态平台已上线运营，钢材贸易及供应链金融累计已实现产值120亿元，智运网络货运平台承运货物超39万吨。</w:t>
      </w:r>
      <w:r>
        <w:rPr>
          <w:rFonts w:hint="default" w:ascii="Times New Roman" w:hAnsi="Times New Roman" w:eastAsia="仿宋_GB2312" w:cs="Times New Roman"/>
          <w:color w:val="auto"/>
          <w:spacing w:val="8"/>
          <w:sz w:val="32"/>
          <w:szCs w:val="32"/>
          <w:highlight w:val="none"/>
          <w:shd w:val="clear" w:color="auto" w:fill="FFFFFF"/>
        </w:rPr>
        <w:t>全国首届“钻石论坛”成功举办；</w:t>
      </w:r>
      <w:r>
        <w:rPr>
          <w:rFonts w:hint="default" w:ascii="Times New Roman" w:hAnsi="Times New Roman" w:eastAsia="仿宋_GB2312" w:cs="Times New Roman"/>
          <w:color w:val="auto"/>
          <w:kern w:val="0"/>
          <w:sz w:val="32"/>
          <w:szCs w:val="32"/>
          <w:highlight w:val="none"/>
        </w:rPr>
        <w:t>17家知名头部企业抢先进驻全国首家硬质合金国际交易中心。</w:t>
      </w:r>
      <w:r>
        <w:rPr>
          <w:rFonts w:hint="default" w:ascii="Times New Roman" w:hAnsi="Times New Roman" w:eastAsia="仿宋_GB2312" w:cs="Times New Roman"/>
          <w:color w:val="auto"/>
          <w:sz w:val="32"/>
          <w:szCs w:val="32"/>
          <w:highlight w:val="none"/>
        </w:rPr>
        <w:t>先进硬质材料产业集群获评“2023中国百强产业集群”，</w:t>
      </w:r>
      <w:r>
        <w:rPr>
          <w:rFonts w:hint="default" w:ascii="Times New Roman" w:hAnsi="Times New Roman" w:eastAsia="仿宋_GB2312" w:cs="Times New Roman"/>
          <w:color w:val="auto"/>
          <w:sz w:val="32"/>
          <w:szCs w:val="32"/>
          <w:highlight w:val="none"/>
          <w:shd w:val="clear" w:color="auto" w:fill="FFFFFF"/>
        </w:rPr>
        <w:t>并跻身省级产业集群</w:t>
      </w:r>
      <w:r>
        <w:rPr>
          <w:rFonts w:hint="default" w:ascii="Times New Roman" w:hAnsi="Times New Roman" w:eastAsia="仿宋_GB2312" w:cs="Times New Roman"/>
          <w:color w:val="auto"/>
          <w:sz w:val="32"/>
          <w:szCs w:val="32"/>
          <w:highlight w:val="none"/>
        </w:rPr>
        <w:t>。加大招商力度，全年引进亿元以上项目3</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个，总投资</w:t>
      </w:r>
      <w:r>
        <w:rPr>
          <w:rFonts w:hint="default" w:ascii="Times New Roman" w:hAnsi="Times New Roman" w:eastAsia="仿宋_GB2312" w:cs="Times New Roman"/>
          <w:color w:val="auto"/>
          <w:sz w:val="32"/>
          <w:szCs w:val="32"/>
          <w:highlight w:val="none"/>
          <w:lang w:val="en-US" w:eastAsia="zh-CN"/>
        </w:rPr>
        <w:t>88.38</w:t>
      </w:r>
      <w:r>
        <w:rPr>
          <w:rFonts w:hint="default" w:ascii="Times New Roman" w:hAnsi="Times New Roman" w:eastAsia="仿宋_GB2312" w:cs="Times New Roman"/>
          <w:color w:val="auto"/>
          <w:sz w:val="32"/>
          <w:szCs w:val="32"/>
          <w:highlight w:val="none"/>
        </w:rPr>
        <w:t>亿元，其中10亿元以上项目</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个、三类500强项目</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个，湘商回株投资到位资金31.6亿元。G4长株桂新高速总部落户荷塘。</w:t>
      </w:r>
      <w:r>
        <w:rPr>
          <w:rFonts w:hint="default" w:ascii="Times New Roman" w:hAnsi="Times New Roman" w:eastAsia="楷体_GB2312" w:cs="Times New Roman"/>
          <w:b/>
          <w:color w:val="auto"/>
          <w:sz w:val="32"/>
          <w:szCs w:val="32"/>
          <w:highlight w:val="none"/>
        </w:rPr>
        <w:t>项目建设加快推进。</w:t>
      </w:r>
      <w:r>
        <w:rPr>
          <w:rFonts w:hint="default" w:ascii="Times New Roman" w:hAnsi="Times New Roman" w:eastAsia="仿宋_GB2312" w:cs="Times New Roman"/>
          <w:color w:val="auto"/>
          <w:sz w:val="32"/>
          <w:szCs w:val="32"/>
          <w:highlight w:val="none"/>
          <w:shd w:val="clear" w:color="auto" w:fill="FFFFFF"/>
        </w:rPr>
        <w:t>大力开展“项目攻坚年”活动，完善项目全生命周期管理体系，</w:t>
      </w:r>
      <w:r>
        <w:rPr>
          <w:rFonts w:hint="default" w:ascii="Times New Roman" w:hAnsi="Times New Roman" w:eastAsia="仿宋_GB2312" w:cs="Times New Roman"/>
          <w:color w:val="auto"/>
          <w:sz w:val="32"/>
          <w:szCs w:val="32"/>
          <w:highlight w:val="none"/>
        </w:rPr>
        <w:t>全区60个重点项目完成投资10</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2亿元，完成年度计划的</w:t>
      </w:r>
      <w:r>
        <w:rPr>
          <w:rFonts w:hint="default" w:ascii="Times New Roman" w:hAnsi="Times New Roman" w:eastAsia="仿宋_GB2312" w:cs="Times New Roman"/>
          <w:color w:val="auto"/>
          <w:sz w:val="32"/>
          <w:szCs w:val="32"/>
          <w:highlight w:val="none"/>
          <w:lang w:val="en-US" w:eastAsia="zh-CN"/>
        </w:rPr>
        <w:t>101.05</w:t>
      </w:r>
      <w:r>
        <w:rPr>
          <w:rFonts w:hint="default" w:ascii="Times New Roman" w:hAnsi="Times New Roman" w:eastAsia="仿宋_GB2312" w:cs="Times New Roman"/>
          <w:color w:val="auto"/>
          <w:sz w:val="32"/>
          <w:szCs w:val="32"/>
          <w:highlight w:val="none"/>
        </w:rPr>
        <w:t>%，实现湖南先进硬质材料及工具产业园1-1期等36个重点项目开工，丽舍路二期等25个项目竣工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三一智慧钢铁城项目荣获2023年湖南“十大产业项目”和“万千百”工程省级重点项目</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标厂开工建设1.5万平米、主体完工7万平米、竣工交付6万平米，三一铁路专线开工建设。湖南先进硬质材料产园1-1期正加快主体施工，展示交易中心一期已进入竣工验收阶段。</w:t>
      </w:r>
      <w:r>
        <w:rPr>
          <w:rFonts w:hint="default" w:ascii="Times New Roman" w:hAnsi="Times New Roman" w:eastAsia="仿宋_GB2312" w:cs="Times New Roman"/>
          <w:b/>
          <w:color w:val="auto"/>
          <w:sz w:val="32"/>
          <w:szCs w:val="32"/>
          <w:highlight w:val="none"/>
        </w:rPr>
        <w:t>要素保障加大力度。</w:t>
      </w:r>
      <w:r>
        <w:rPr>
          <w:rFonts w:hint="default" w:ascii="Times New Roman" w:hAnsi="Times New Roman" w:eastAsia="仿宋_GB2312" w:cs="Times New Roman"/>
          <w:color w:val="auto"/>
          <w:sz w:val="32"/>
          <w:szCs w:val="32"/>
          <w:highlight w:val="none"/>
        </w:rPr>
        <w:t>深挖降本增效潜能，三一智慧钢铁城工程</w:t>
      </w:r>
      <w:r>
        <w:rPr>
          <w:rFonts w:hint="default" w:ascii="Times New Roman" w:hAnsi="Times New Roman" w:eastAsia="仿宋_GB2312" w:cs="Times New Roman"/>
          <w:color w:val="auto"/>
          <w:sz w:val="32"/>
          <w:szCs w:val="32"/>
          <w:highlight w:val="none"/>
          <w:lang w:val="en-US" w:eastAsia="zh-CN"/>
        </w:rPr>
        <w:t>土石方</w:t>
      </w:r>
      <w:r>
        <w:rPr>
          <w:rFonts w:hint="default" w:ascii="Times New Roman" w:hAnsi="Times New Roman" w:eastAsia="仿宋_GB2312" w:cs="Times New Roman"/>
          <w:color w:val="auto"/>
          <w:sz w:val="32"/>
          <w:szCs w:val="32"/>
          <w:highlight w:val="none"/>
        </w:rPr>
        <w:t>项目造价预算从1.9亿元降至0.4亿元。强化征拆引领，完成集体交地981.59亩，征收国有房屋面积13270平方米，国有项目已全面完成。强化资金保障，</w:t>
      </w:r>
      <w:r>
        <w:rPr>
          <w:rFonts w:hint="default" w:ascii="Times New Roman" w:hAnsi="Times New Roman" w:eastAsia="仿宋_GB2312" w:cs="Times New Roman"/>
          <w:bCs/>
          <w:color w:val="auto"/>
          <w:sz w:val="32"/>
          <w:szCs w:val="32"/>
          <w:highlight w:val="none"/>
        </w:rPr>
        <w:t>为318家辖内企业授信</w:t>
      </w:r>
      <w:r>
        <w:rPr>
          <w:rFonts w:hint="default" w:ascii="Times New Roman" w:hAnsi="Times New Roman" w:eastAsia="仿宋_GB2312" w:cs="Times New Roman"/>
          <w:bCs/>
          <w:color w:val="auto"/>
          <w:sz w:val="32"/>
          <w:szCs w:val="32"/>
          <w:highlight w:val="none"/>
          <w:lang w:val="en-US" w:eastAsia="zh-CN"/>
        </w:rPr>
        <w:t>14</w:t>
      </w:r>
      <w:r>
        <w:rPr>
          <w:rFonts w:hint="default" w:ascii="Times New Roman" w:hAnsi="Times New Roman" w:eastAsia="仿宋_GB2312" w:cs="Times New Roman"/>
          <w:bCs/>
          <w:color w:val="auto"/>
          <w:sz w:val="32"/>
          <w:szCs w:val="32"/>
          <w:highlight w:val="none"/>
        </w:rPr>
        <w:t>亿元，其中：放款10.86亿元，同比增长24.11%；为69家辖内中小微企业办理贷款展期或续贷1.88亿元，同比增长13.94%</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保障重点项目融资19.17亿元</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国有企业新增融资到位50.13亿元。我区作为全省动产抵质押融资首批试点，成功为3家企业授信3500万元，形成了硬质合金存货抵质押综合成本4.7%的“首创经验”。</w:t>
      </w:r>
      <w:r>
        <w:rPr>
          <w:rFonts w:hint="default" w:ascii="Times New Roman" w:hAnsi="Times New Roman" w:eastAsia="仿宋_GB2312" w:cs="Times New Roman"/>
          <w:color w:val="auto"/>
          <w:sz w:val="32"/>
          <w:szCs w:val="32"/>
          <w:highlight w:val="none"/>
        </w:rPr>
        <w:t>成功发行专项债券资金7.69亿元。</w:t>
      </w:r>
    </w:p>
    <w:p>
      <w:pPr>
        <w:pStyle w:val="5"/>
        <w:overflowPunct w:val="0"/>
        <w:spacing w:line="600" w:lineRule="exact"/>
        <w:ind w:firstLine="643" w:firstLineChars="200"/>
        <w:jc w:val="both"/>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（三）持续深化改革开放，创新发展活力持续注入</w:t>
      </w:r>
    </w:p>
    <w:p>
      <w:pPr>
        <w:overflowPunct w:val="0"/>
        <w:adjustRightInd w:val="0"/>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外贸外资成效明显。</w:t>
      </w:r>
      <w:r>
        <w:rPr>
          <w:rFonts w:hint="default" w:ascii="Times New Roman" w:hAnsi="Times New Roman" w:eastAsia="仿宋_GB2312" w:cs="Times New Roman"/>
          <w:color w:val="auto"/>
          <w:sz w:val="32"/>
          <w:szCs w:val="32"/>
          <w:highlight w:val="none"/>
        </w:rPr>
        <w:t>中天建设（湖南）集团有限公司在香港联合交易所主板成功挂牌上市，实际利用外资146.1万美元，外资实现零突破。在全市率先建立跨境电商孵化中心，提供外贸跨境电商“一站式”综合服务窗口，孵化成立跨境电商企业40余家，新增进出口贸易额2000万美元。推动株洲市2023年跨境电商出口“9710”首单在荷塘落地，全年“9710”出口额将达3000万元人民币。首届先进硬质材料及工具国际博览会，国内外客商实现订单成交额2600余万元，意向成交额超逾2亿元。</w:t>
      </w:r>
      <w:r>
        <w:rPr>
          <w:rFonts w:hint="default" w:ascii="Times New Roman" w:hAnsi="Times New Roman" w:eastAsia="仿宋_GB2312" w:cs="Times New Roman"/>
          <w:b/>
          <w:color w:val="auto"/>
          <w:sz w:val="32"/>
          <w:szCs w:val="32"/>
          <w:highlight w:val="none"/>
        </w:rPr>
        <w:t>营商环境持续深化。</w:t>
      </w:r>
      <w:r>
        <w:rPr>
          <w:rFonts w:hint="default" w:ascii="Times New Roman" w:hAnsi="Times New Roman" w:eastAsia="仿宋_GB2312" w:cs="Times New Roman"/>
          <w:color w:val="auto"/>
          <w:sz w:val="32"/>
          <w:szCs w:val="32"/>
          <w:highlight w:val="none"/>
        </w:rPr>
        <w:t>深化“一网通办”、打造“一件事一次办”升级版，打造政务APP综合服务平台，联盟深化“跨省通办”，“一把手走流程”服务一线解难题，聚焦212个事项，优化整改事项72个，优化时限470个工作日。积极推动“六即”服务改革走深走实，实现三一项目一期（二标段）“竣工即交证”改革，执行“投产即培育”，为5个招商项目精准“洽谈即服务”。构建“1+3+N”治理架构，依托“我的荷塘”线上服务平台，打造“指尖上的政府”获省政府综合大督查通报表扬、湖南省“放管服”改革“揭榜竞优”优秀成果。</w:t>
      </w:r>
      <w:r>
        <w:rPr>
          <w:rFonts w:hint="default" w:ascii="Times New Roman" w:hAnsi="Times New Roman" w:eastAsia="仿宋_GB2312" w:cs="Times New Roman"/>
          <w:b/>
          <w:color w:val="auto"/>
          <w:sz w:val="32"/>
          <w:szCs w:val="32"/>
          <w:highlight w:val="none"/>
        </w:rPr>
        <w:t>园区改革不断创新。</w:t>
      </w:r>
      <w:r>
        <w:rPr>
          <w:rFonts w:hint="default" w:ascii="Times New Roman" w:hAnsi="Times New Roman" w:eastAsia="仿宋_GB2312" w:cs="Times New Roman"/>
          <w:color w:val="auto"/>
          <w:sz w:val="32"/>
          <w:szCs w:val="32"/>
          <w:highlight w:val="none"/>
        </w:rPr>
        <w:t>荷塘产业开发区成功晋级省级高新区，构建大园区“一委一司两中心”管理机制，建立了城区、园区收入分享机制，</w:t>
      </w:r>
      <w:r>
        <w:rPr>
          <w:rFonts w:hint="default" w:ascii="Times New Roman" w:hAnsi="Times New Roman" w:eastAsia="仿宋_GB2312" w:cs="Times New Roman"/>
          <w:color w:val="auto"/>
          <w:kern w:val="0"/>
          <w:sz w:val="32"/>
          <w:szCs w:val="32"/>
          <w:highlight w:val="none"/>
        </w:rPr>
        <w:t>成立荷塘区先进硬质材料产业基金联盟，</w:t>
      </w:r>
      <w:r>
        <w:rPr>
          <w:rFonts w:hint="default" w:ascii="Times New Roman" w:hAnsi="Times New Roman" w:eastAsia="仿宋_GB2312" w:cs="Times New Roman"/>
          <w:color w:val="auto"/>
          <w:sz w:val="32"/>
          <w:szCs w:val="32"/>
          <w:highlight w:val="none"/>
        </w:rPr>
        <w:t>积极推进产投公司组建。深化“大部门制”改革，灵活实行“以岗定薪、绩效考核、优绩优酬”，园区管理、财政、薪酬体系不断优化。加强园区要素市场化配置改革，有效盘活闲置低效用地34.23亩。</w:t>
      </w:r>
    </w:p>
    <w:p>
      <w:pPr>
        <w:overflowPunct w:val="0"/>
        <w:adjustRightInd w:val="0"/>
        <w:spacing w:line="60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（四）不断坚持城乡融合，城市品质能级加速提升</w:t>
      </w:r>
    </w:p>
    <w:p>
      <w:pPr>
        <w:pStyle w:val="2"/>
        <w:overflowPunct w:val="0"/>
        <w:adjustRightInd w:val="0"/>
        <w:snapToGrid w:val="0"/>
        <w:spacing w:after="0"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城乡建设全面提速。</w:t>
      </w:r>
      <w:r>
        <w:rPr>
          <w:rFonts w:hint="default" w:ascii="Times New Roman" w:hAnsi="Times New Roman" w:eastAsia="仿宋_GB2312" w:cs="Times New Roman"/>
          <w:color w:val="auto"/>
          <w:sz w:val="32"/>
          <w:szCs w:val="32"/>
          <w:highlight w:val="none"/>
        </w:rPr>
        <w:t>城市道路不断提升</w:t>
      </w:r>
      <w:r>
        <w:rPr>
          <w:rFonts w:hint="default" w:ascii="Times New Roman" w:hAnsi="Times New Roman" w:eastAsia="仿宋_GB2312" w:cs="Times New Roman"/>
          <w:b/>
          <w:color w:val="auto"/>
          <w:sz w:val="32"/>
          <w:szCs w:val="32"/>
          <w:highlight w:val="none"/>
        </w:rPr>
        <w:t>，</w:t>
      </w:r>
      <w:r>
        <w:rPr>
          <w:rFonts w:hint="default" w:ascii="Times New Roman" w:hAnsi="Times New Roman" w:eastAsia="仿宋_GB2312" w:cs="Times New Roman"/>
          <w:color w:val="auto"/>
          <w:sz w:val="32"/>
          <w:szCs w:val="32"/>
          <w:highlight w:val="none"/>
        </w:rPr>
        <w:t>黄泥塘路、迎风路等</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条道路已完工通车，新塘路四期、新文化路等14条道路加速推进。加快改善环境短板，完成建宁港市政雨污分流改造，推进“金山-建宁港”示范片区等27个海绵城市项目。探索老城有机更新，启动22个小区、2365户改造开工建设，启动601社区创建绿色完整社区试点，电梯加装17台。城乡交通通行条件提升，G4京港澳高速扩容启动建设，完成4.6公里农村道路提质改造。</w:t>
      </w:r>
      <w:r>
        <w:rPr>
          <w:rFonts w:hint="default" w:ascii="Times New Roman" w:hAnsi="Times New Roman" w:eastAsia="仿宋_GB2312" w:cs="Times New Roman"/>
          <w:b/>
          <w:color w:val="auto"/>
          <w:sz w:val="32"/>
          <w:szCs w:val="32"/>
          <w:highlight w:val="none"/>
        </w:rPr>
        <w:t>乡村振兴提档升级。</w:t>
      </w:r>
      <w:r>
        <w:rPr>
          <w:rFonts w:hint="default" w:ascii="Times New Roman" w:hAnsi="Times New Roman" w:eastAsia="仿宋_GB2312" w:cs="Times New Roman"/>
          <w:color w:val="auto"/>
          <w:sz w:val="32"/>
          <w:szCs w:val="32"/>
          <w:highlight w:val="none"/>
        </w:rPr>
        <w:t>有序推进民生项目，旱塘水库除险加固项目竣工投入使用；创建1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个“幸福”屋场，</w:t>
      </w:r>
      <w:r>
        <w:rPr>
          <w:rFonts w:hint="default" w:ascii="Times New Roman" w:hAnsi="Times New Roman" w:eastAsia="仿宋_GB2312" w:cs="Times New Roman"/>
          <w:color w:val="auto"/>
          <w:sz w:val="32"/>
          <w:szCs w:val="32"/>
          <w:highlight w:val="none"/>
          <w:lang w:val="en-US" w:eastAsia="zh-CN"/>
        </w:rPr>
        <w:t>启动</w:t>
      </w:r>
      <w:r>
        <w:rPr>
          <w:rFonts w:hint="default" w:ascii="Times New Roman" w:hAnsi="Times New Roman" w:eastAsia="仿宋_GB2312" w:cs="Times New Roman"/>
          <w:color w:val="auto"/>
          <w:sz w:val="32"/>
          <w:szCs w:val="32"/>
          <w:highlight w:val="none"/>
        </w:rPr>
        <w:t>4个农村饮水安全工程；农村问题厕所“清零攻坚”行动整改完成率100%。积极壮大集体经济，供销“三社合一”综合改革试点扎实推进，成功为兴塘村、仙庾岭村争取100万元的集体经济扶持资金。成功获批全省唯一国家级农村综改试点试验区，中央财政1.5亿元扶持，累计启动机制创新项目16个，打造“湖南城乡融合样板”。</w:t>
      </w:r>
      <w:r>
        <w:rPr>
          <w:rFonts w:hint="default" w:ascii="Times New Roman" w:hAnsi="Times New Roman" w:eastAsia="仿宋_GB2312" w:cs="Times New Roman"/>
          <w:b/>
          <w:color w:val="auto"/>
          <w:sz w:val="32"/>
          <w:szCs w:val="32"/>
          <w:highlight w:val="none"/>
        </w:rPr>
        <w:t>人居环境日臻改善。</w:t>
      </w:r>
      <w:r>
        <w:rPr>
          <w:rFonts w:hint="default" w:ascii="Times New Roman" w:hAnsi="Times New Roman" w:eastAsia="仿宋_GB2312" w:cs="Times New Roman"/>
          <w:color w:val="auto"/>
          <w:sz w:val="32"/>
          <w:szCs w:val="32"/>
          <w:highlight w:val="none"/>
        </w:rPr>
        <w:t>扎实开展市容环境卫生整治“百日攻坚行动，高质量通过</w:t>
      </w:r>
      <w:r>
        <w:rPr>
          <w:rFonts w:hint="default" w:ascii="Times New Roman" w:hAnsi="Times New Roman" w:eastAsia="仿宋_GB2312" w:cs="Times New Roman"/>
          <w:color w:val="auto"/>
          <w:kern w:val="0"/>
          <w:sz w:val="32"/>
          <w:szCs w:val="32"/>
          <w:highlight w:val="none"/>
        </w:rPr>
        <w:t>全国文明城市创建整改、国家卫生城市创建复审工作；</w:t>
      </w:r>
      <w:r>
        <w:rPr>
          <w:rFonts w:hint="default" w:ascii="Times New Roman" w:hAnsi="Times New Roman" w:eastAsia="仿宋_GB2312" w:cs="Times New Roman"/>
          <w:color w:val="auto"/>
          <w:sz w:val="32"/>
          <w:szCs w:val="32"/>
          <w:highlight w:val="none"/>
        </w:rPr>
        <w:t>城区垃圾分类实现全覆盖；对水仙路、桂花路等21条道路进行重点养护；统筹推进增绿补绿护绿工作，加快城市绿化建设步伐</w:t>
      </w:r>
      <w:r>
        <w:rPr>
          <w:rFonts w:hint="default" w:ascii="Times New Roman" w:hAnsi="Times New Roman" w:eastAsia="仿宋_GB2312" w:cs="Times New Roman"/>
          <w:b/>
          <w:color w:val="auto"/>
          <w:sz w:val="32"/>
          <w:szCs w:val="32"/>
          <w:highlight w:val="none"/>
        </w:rPr>
        <w:t>。</w:t>
      </w:r>
      <w:r>
        <w:rPr>
          <w:rFonts w:hint="default" w:ascii="Times New Roman" w:hAnsi="Times New Roman" w:eastAsia="仿宋_GB2312" w:cs="Times New Roman"/>
          <w:color w:val="auto"/>
          <w:sz w:val="32"/>
          <w:szCs w:val="32"/>
          <w:highlight w:val="none"/>
        </w:rPr>
        <w:t>省级生态文明示范区创建进一步提速，矿山生态修复任务全面完成，全域保持Ⅱ类水，空气质量改善率排名全市第一，土壤环境质量全面稳定达标，全力推进污染防治攻坚专项行动。</w:t>
      </w:r>
    </w:p>
    <w:p>
      <w:pPr>
        <w:pStyle w:val="2"/>
        <w:overflowPunct w:val="0"/>
        <w:adjustRightInd w:val="0"/>
        <w:snapToGrid w:val="0"/>
        <w:spacing w:after="0" w:line="600" w:lineRule="exact"/>
        <w:ind w:firstLine="643" w:firstLineChars="200"/>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（五）持续探索</w:t>
      </w:r>
      <w:r>
        <w:rPr>
          <w:rFonts w:hint="default" w:ascii="Times New Roman" w:hAnsi="Times New Roman" w:eastAsia="楷体_GB2312" w:cs="Times New Roman"/>
          <w:b/>
          <w:bCs/>
          <w:color w:val="auto"/>
          <w:sz w:val="32"/>
          <w:szCs w:val="32"/>
          <w:highlight w:val="none"/>
          <w:lang w:val="en-US" w:eastAsia="zh-CN"/>
        </w:rPr>
        <w:t>实践路径</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基层治理效能</w:t>
      </w:r>
      <w:r>
        <w:rPr>
          <w:rFonts w:hint="default" w:ascii="Times New Roman" w:hAnsi="Times New Roman" w:eastAsia="楷体_GB2312" w:cs="Times New Roman"/>
          <w:b/>
          <w:bCs/>
          <w:color w:val="auto"/>
          <w:sz w:val="32"/>
          <w:szCs w:val="32"/>
          <w:highlight w:val="none"/>
        </w:rPr>
        <w:t>日益</w:t>
      </w:r>
      <w:r>
        <w:rPr>
          <w:rFonts w:hint="default" w:ascii="Times New Roman" w:hAnsi="Times New Roman" w:eastAsia="楷体_GB2312" w:cs="Times New Roman"/>
          <w:b/>
          <w:bCs/>
          <w:color w:val="auto"/>
          <w:sz w:val="32"/>
          <w:szCs w:val="32"/>
          <w:highlight w:val="none"/>
          <w:lang w:val="en-US" w:eastAsia="zh-CN"/>
        </w:rPr>
        <w:t>增强</w:t>
      </w:r>
    </w:p>
    <w:p>
      <w:pPr>
        <w:pStyle w:val="22"/>
        <w:keepNext w:val="0"/>
        <w:keepLines w:val="0"/>
        <w:pageBreakBefore w:val="0"/>
        <w:widowControl w:val="0"/>
        <w:kinsoku/>
        <w:wordWrap/>
        <w:overflowPunct/>
        <w:topLinePunct w:val="0"/>
        <w:autoSpaceDE/>
        <w:autoSpaceDN/>
        <w:bidi w:val="0"/>
        <w:adjustRightInd/>
        <w:spacing w:after="0" w:line="60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治理</w:t>
      </w:r>
      <w:r>
        <w:rPr>
          <w:rFonts w:hint="default" w:ascii="Times New Roman" w:hAnsi="Times New Roman" w:eastAsia="仿宋_GB2312" w:cs="Times New Roman"/>
          <w:b/>
          <w:color w:val="auto"/>
          <w:sz w:val="32"/>
          <w:szCs w:val="32"/>
          <w:highlight w:val="none"/>
        </w:rPr>
        <w:t>体系不断织密。</w:t>
      </w:r>
      <w:r>
        <w:rPr>
          <w:rFonts w:hint="default" w:ascii="Times New Roman" w:hAnsi="Times New Roman" w:eastAsia="仿宋_GB2312" w:cs="Times New Roman"/>
          <w:color w:val="auto"/>
          <w:kern w:val="0"/>
          <w:sz w:val="32"/>
          <w:szCs w:val="32"/>
          <w:highlight w:val="none"/>
          <w:shd w:val="clear" w:color="auto" w:fill="FFFFFF"/>
        </w:rPr>
        <w:t>在77个小区设立“五堂”中的一项或几项服务场所，其中开设长者食堂4个、小区学堂39个、邻里和事堂68个、居民健康堂53个、业主议事堂68个，形成“15分钟公共服务圈”“5分钟党群服务圈”。</w:t>
      </w:r>
      <w:r>
        <w:rPr>
          <w:rFonts w:hint="default" w:ascii="Times New Roman" w:hAnsi="Times New Roman" w:eastAsia="仿宋_GB2312" w:cs="Times New Roman"/>
          <w:color w:val="auto"/>
          <w:sz w:val="32"/>
          <w:szCs w:val="32"/>
          <w:highlight w:val="none"/>
          <w:lang w:val="en-US" w:eastAsia="zh-CN"/>
        </w:rPr>
        <w:t>选强配优1309名组长、7045名邻长（含楼栋长4670人），</w:t>
      </w:r>
      <w:r>
        <w:rPr>
          <w:rFonts w:hint="default" w:ascii="Times New Roman" w:hAnsi="Times New Roman" w:eastAsia="仿宋_GB2312" w:cs="Times New Roman"/>
          <w:color w:val="auto"/>
          <w:sz w:val="32"/>
          <w:szCs w:val="32"/>
          <w:highlight w:val="none"/>
        </w:rPr>
        <w:t>畅通基层治理“最后一米”。</w:t>
      </w:r>
      <w:r>
        <w:rPr>
          <w:rFonts w:hint="default" w:ascii="Times New Roman" w:hAnsi="Times New Roman" w:eastAsia="仿宋_GB2312" w:cs="Times New Roman"/>
          <w:color w:val="auto"/>
          <w:sz w:val="32"/>
          <w:szCs w:val="32"/>
          <w:highlight w:val="none"/>
          <w:lang w:val="en-US" w:eastAsia="zh-CN"/>
        </w:rPr>
        <w:t>选派696</w:t>
      </w:r>
      <w:r>
        <w:rPr>
          <w:rFonts w:hint="default" w:ascii="Times New Roman" w:hAnsi="Times New Roman" w:eastAsia="仿宋_GB2312" w:cs="Times New Roman"/>
          <w:color w:val="auto"/>
          <w:sz w:val="32"/>
          <w:szCs w:val="32"/>
          <w:highlight w:val="none"/>
        </w:rPr>
        <w:t>名干部进驻小区，</w:t>
      </w:r>
      <w:r>
        <w:rPr>
          <w:rFonts w:hint="default" w:ascii="Times New Roman" w:hAnsi="Times New Roman" w:eastAsia="仿宋_GB2312" w:cs="Times New Roman"/>
          <w:color w:val="auto"/>
          <w:sz w:val="32"/>
          <w:szCs w:val="32"/>
          <w:highlight w:val="none"/>
          <w:lang w:val="en-US" w:eastAsia="zh-CN"/>
        </w:rPr>
        <w:t>50家企业作为小区后援单位，形成强大合力助力小区治理。</w:t>
      </w:r>
      <w:r>
        <w:rPr>
          <w:rFonts w:hint="default" w:ascii="Times New Roman" w:hAnsi="Times New Roman" w:eastAsia="仿宋_GB2312" w:cs="Times New Roman"/>
          <w:b/>
          <w:color w:val="auto"/>
          <w:sz w:val="32"/>
          <w:szCs w:val="32"/>
          <w:highlight w:val="none"/>
        </w:rPr>
        <w:t>治理行动不断深化。</w:t>
      </w:r>
      <w:r>
        <w:rPr>
          <w:rFonts w:hint="default" w:ascii="Times New Roman" w:hAnsi="Times New Roman" w:eastAsia="仿宋_GB2312" w:cs="Times New Roman"/>
          <w:color w:val="auto"/>
          <w:sz w:val="32"/>
          <w:szCs w:val="32"/>
          <w:highlight w:val="none"/>
        </w:rPr>
        <w:t>各方力量赋能协同治理，建成11个“她空间”阵地，6家“团团心灵驿站”，1</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家“团团希望小屋”，1家3A级“民营公助”日间照料托养服务机构，开展“城管执法进小区”，实施无物业管理小区微改造。深化城乡帮困工作，实施项目总数量为11个，帮扶重点个案总数800余人，受益人群3000余人。</w:t>
      </w:r>
      <w:r>
        <w:rPr>
          <w:rFonts w:hint="default" w:ascii="Times New Roman" w:hAnsi="Times New Roman" w:eastAsia="仿宋_GB2312" w:cs="Times New Roman"/>
          <w:color w:val="auto"/>
          <w:kern w:val="0"/>
          <w:sz w:val="32"/>
          <w:szCs w:val="32"/>
          <w:highlight w:val="none"/>
          <w:shd w:val="clear" w:color="auto" w:fill="FFFFFF"/>
        </w:rPr>
        <w:t>实施“Thank树”“</w:t>
      </w:r>
      <w:r>
        <w:rPr>
          <w:rFonts w:hint="default" w:ascii="Times New Roman" w:hAnsi="Times New Roman" w:eastAsia="仿宋_GB2312" w:cs="Times New Roman"/>
          <w:color w:val="auto"/>
          <w:kern w:val="0"/>
          <w:sz w:val="32"/>
          <w:szCs w:val="32"/>
          <w:highlight w:val="none"/>
          <w:shd w:val="clear" w:color="auto" w:fill="FFFFFF"/>
          <w:lang w:val="en-US" w:eastAsia="zh-CN"/>
        </w:rPr>
        <w:t>静</w:t>
      </w:r>
      <w:r>
        <w:rPr>
          <w:rFonts w:hint="default" w:ascii="Times New Roman" w:hAnsi="Times New Roman" w:eastAsia="仿宋_GB2312" w:cs="Times New Roman"/>
          <w:color w:val="auto"/>
          <w:kern w:val="0"/>
          <w:sz w:val="32"/>
          <w:szCs w:val="32"/>
          <w:highlight w:val="none"/>
          <w:shd w:val="clear" w:color="auto" w:fill="FFFFFF"/>
        </w:rPr>
        <w:t>邻一家”“红心会客厅”等6个微项目，居民自治积极性不断调动。</w:t>
      </w:r>
      <w:r>
        <w:rPr>
          <w:rFonts w:hint="default" w:ascii="Times New Roman" w:hAnsi="Times New Roman" w:eastAsia="仿宋_GB2312" w:cs="Times New Roman"/>
          <w:b/>
          <w:color w:val="auto"/>
          <w:sz w:val="32"/>
          <w:szCs w:val="32"/>
          <w:highlight w:val="none"/>
        </w:rPr>
        <w:t>治理品牌不断精造。</w:t>
      </w:r>
      <w:r>
        <w:rPr>
          <w:rFonts w:hint="default" w:ascii="Times New Roman" w:hAnsi="Times New Roman" w:eastAsia="仿宋_GB2312" w:cs="Times New Roman"/>
          <w:color w:val="auto"/>
          <w:sz w:val="32"/>
          <w:szCs w:val="32"/>
          <w:highlight w:val="none"/>
          <w:lang w:val="en-US" w:eastAsia="zh-CN"/>
        </w:rPr>
        <w:t>共有7个案例入选株洲市城市基层党建引领基层治理创新案例</w:t>
      </w:r>
      <w:r>
        <w:rPr>
          <w:rFonts w:hint="default" w:ascii="Times New Roman" w:hAnsi="Times New Roman" w:eastAsia="仿宋_GB2312" w:cs="Times New Roman"/>
          <w:color w:val="auto"/>
          <w:sz w:val="32"/>
          <w:szCs w:val="32"/>
          <w:highlight w:val="none"/>
        </w:rPr>
        <w:t>。茨菇塘街道夯实“楼栋长来当家”品牌；桂花街道推动“花园议事会”扩面增效；宋家桥街道“近邻管家”入选湖南省2023年基层治理创新实验项目；荷塘区基层治理改革探索与实践荣获株洲市2023年度“十大改革典型案例”。依托“我的荷塘”线上服务平台，打造“指尖上的政府”获湖南省基层智慧治理优秀案例。</w:t>
      </w:r>
      <w:r>
        <w:rPr>
          <w:rFonts w:hint="default" w:ascii="Times New Roman" w:hAnsi="Times New Roman" w:eastAsia="仿宋_GB2312" w:cs="Times New Roman"/>
          <w:color w:val="auto"/>
          <w:kern w:val="0"/>
          <w:sz w:val="32"/>
          <w:szCs w:val="32"/>
          <w:highlight w:val="none"/>
          <w:shd w:val="clear" w:color="auto" w:fill="FFFFFF"/>
        </w:rPr>
        <w:t>建“老书记工作室”“珊珊姐红管家”“建国511”“一米花园”等治理品牌。</w:t>
      </w:r>
    </w:p>
    <w:p>
      <w:pPr>
        <w:pStyle w:val="2"/>
        <w:overflowPunct w:val="0"/>
        <w:adjustRightInd w:val="0"/>
        <w:snapToGrid w:val="0"/>
        <w:spacing w:after="0"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（六）统筹推进民生保障，人民幸福指数不断增进</w:t>
      </w:r>
    </w:p>
    <w:p>
      <w:pPr>
        <w:overflowPunct w:val="0"/>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就业保障精准有力。</w:t>
      </w:r>
      <w:r>
        <w:rPr>
          <w:rFonts w:hint="default" w:ascii="Times New Roman" w:hAnsi="Times New Roman" w:eastAsia="仿宋_GB2312" w:cs="Times New Roman"/>
          <w:color w:val="auto"/>
          <w:kern w:val="0"/>
          <w:sz w:val="32"/>
          <w:szCs w:val="32"/>
          <w:highlight w:val="none"/>
          <w:shd w:val="clear" w:color="auto" w:fill="FFFFFF"/>
        </w:rPr>
        <w:t>实施“平台升级、培源稳岗、精准帮扶、服务提质”四项行动，</w:t>
      </w:r>
      <w:r>
        <w:rPr>
          <w:rFonts w:hint="default" w:ascii="Times New Roman" w:hAnsi="Times New Roman" w:eastAsia="仿宋_GB2312" w:cs="Times New Roman"/>
          <w:color w:val="auto"/>
          <w:sz w:val="32"/>
          <w:szCs w:val="32"/>
          <w:highlight w:val="none"/>
        </w:rPr>
        <w:t>城镇新增就业已达9312人；城镇登记失业率1.22%，低于4.5%的控制目标，低于全市水平；失业人员再就业3466人；就业困难人员再就业504人；新增农民工转移就业429人。</w:t>
      </w:r>
      <w:r>
        <w:rPr>
          <w:rFonts w:hint="default" w:ascii="Times New Roman" w:hAnsi="Times New Roman" w:eastAsia="仿宋_GB2312" w:cs="Times New Roman"/>
          <w:color w:val="auto"/>
          <w:kern w:val="0"/>
          <w:sz w:val="32"/>
          <w:szCs w:val="32"/>
          <w:highlight w:val="none"/>
          <w:shd w:val="clear" w:color="auto" w:fill="FFFFFF"/>
        </w:rPr>
        <w:t>打造“午间就业直播”和家门口就业“职”通车精准就业服务品牌、“10+3”就业服务圈。</w:t>
      </w:r>
      <w:r>
        <w:rPr>
          <w:rFonts w:hint="default" w:ascii="Times New Roman" w:hAnsi="Times New Roman" w:eastAsia="仿宋_GB2312" w:cs="Times New Roman"/>
          <w:color w:val="auto"/>
          <w:sz w:val="32"/>
          <w:szCs w:val="32"/>
          <w:highlight w:val="none"/>
        </w:rPr>
        <w:t>设立零工服务市场，天鹅社区“新就业形态服务之家”获评省“百优驿站”。“零就业家庭”保持动态清零。</w:t>
      </w:r>
      <w:r>
        <w:rPr>
          <w:rFonts w:hint="default" w:ascii="Times New Roman" w:hAnsi="Times New Roman" w:eastAsia="仿宋_GB2312" w:cs="Times New Roman"/>
          <w:b/>
          <w:color w:val="auto"/>
          <w:sz w:val="32"/>
          <w:szCs w:val="32"/>
          <w:highlight w:val="none"/>
        </w:rPr>
        <w:t>民生实事优质共享。</w:t>
      </w:r>
      <w:r>
        <w:rPr>
          <w:rFonts w:hint="default" w:ascii="Times New Roman" w:hAnsi="Times New Roman" w:eastAsia="仿宋_GB2312" w:cs="Times New Roman"/>
          <w:color w:val="auto"/>
          <w:sz w:val="32"/>
          <w:szCs w:val="32"/>
          <w:highlight w:val="none"/>
        </w:rPr>
        <w:t>推进教育优质均衡发展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积极推进景炎初级中（小）学（</w:t>
      </w:r>
      <w:r>
        <w:rPr>
          <w:rFonts w:hint="default" w:ascii="Times New Roman" w:hAnsi="Times New Roman" w:eastAsia="仿宋_GB2312" w:cs="Times New Roman"/>
          <w:color w:val="auto"/>
          <w:sz w:val="32"/>
          <w:szCs w:val="32"/>
          <w:highlight w:val="none"/>
        </w:rPr>
        <w:t>水竹湖</w:t>
      </w:r>
      <w:r>
        <w:rPr>
          <w:rFonts w:hint="default" w:ascii="Times New Roman" w:hAnsi="Times New Roman" w:eastAsia="仿宋_GB2312" w:cs="Times New Roman"/>
          <w:color w:val="auto"/>
          <w:sz w:val="32"/>
          <w:szCs w:val="32"/>
          <w:highlight w:val="none"/>
          <w:lang w:val="en-US" w:eastAsia="zh-CN"/>
        </w:rPr>
        <w:t>校区）如期开学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新建</w:t>
      </w:r>
      <w:r>
        <w:rPr>
          <w:rFonts w:hint="default" w:ascii="Times New Roman" w:hAnsi="Times New Roman" w:eastAsia="仿宋_GB2312" w:cs="Times New Roman"/>
          <w:color w:val="auto"/>
          <w:sz w:val="32"/>
          <w:szCs w:val="32"/>
          <w:highlight w:val="none"/>
        </w:rPr>
        <w:t>美的学校懿美楼，新增公办学位5000余个；完成1</w:t>
      </w:r>
      <w:r>
        <w:rPr>
          <w:rFonts w:hint="default" w:ascii="Times New Roman" w:hAnsi="Times New Roman" w:eastAsia="仿宋_GB2312" w:cs="Times New Roman"/>
          <w:color w:val="auto"/>
          <w:sz w:val="32"/>
          <w:szCs w:val="32"/>
          <w:highlight w:val="none"/>
          <w:lang w:val="en-US" w:eastAsia="zh-CN"/>
        </w:rPr>
        <w:t>1处</w:t>
      </w:r>
      <w:r>
        <w:rPr>
          <w:rFonts w:hint="default" w:ascii="Times New Roman" w:hAnsi="Times New Roman" w:eastAsia="仿宋_GB2312" w:cs="Times New Roman"/>
          <w:color w:val="auto"/>
          <w:sz w:val="32"/>
          <w:szCs w:val="32"/>
          <w:highlight w:val="none"/>
        </w:rPr>
        <w:t>老旧校园（幼儿园）更新改造和6所学校护眼灯工程；完成2所幼儿园民转公，全区普惠性园位占比从8</w:t>
      </w:r>
      <w:r>
        <w:rPr>
          <w:rFonts w:hint="default" w:ascii="Times New Roman" w:hAnsi="Times New Roman" w:eastAsia="仿宋_GB2312" w:cs="Times New Roman"/>
          <w:color w:val="auto"/>
          <w:sz w:val="32"/>
          <w:szCs w:val="32"/>
          <w:highlight w:val="none"/>
          <w:lang w:val="en-US" w:eastAsia="zh-CN"/>
        </w:rPr>
        <w:t>9.2</w:t>
      </w:r>
      <w:r>
        <w:rPr>
          <w:rFonts w:hint="default" w:ascii="Times New Roman" w:hAnsi="Times New Roman" w:eastAsia="仿宋_GB2312" w:cs="Times New Roman"/>
          <w:color w:val="auto"/>
          <w:sz w:val="32"/>
          <w:szCs w:val="32"/>
          <w:highlight w:val="none"/>
        </w:rPr>
        <w:t>%提升到92%；“走教”工作荣获湖南省首届创新基础教育创新案例。全面提升公卫服务能力，深入医联体建设，签约居民转诊到医联体上级单位共</w:t>
      </w:r>
      <w:r>
        <w:rPr>
          <w:rFonts w:hint="default" w:ascii="Times New Roman" w:hAnsi="Times New Roman" w:eastAsia="仿宋_GB2312" w:cs="Times New Roman"/>
          <w:color w:val="auto"/>
          <w:sz w:val="32"/>
          <w:szCs w:val="32"/>
          <w:highlight w:val="none"/>
          <w:lang w:val="en-US" w:eastAsia="zh-CN"/>
        </w:rPr>
        <w:t>8885</w:t>
      </w:r>
      <w:r>
        <w:rPr>
          <w:rFonts w:hint="default" w:ascii="Times New Roman" w:hAnsi="Times New Roman" w:eastAsia="仿宋_GB2312" w:cs="Times New Roman"/>
          <w:color w:val="auto"/>
          <w:sz w:val="32"/>
          <w:szCs w:val="32"/>
          <w:highlight w:val="none"/>
        </w:rPr>
        <w:t>人次，优惠金额</w:t>
      </w:r>
      <w:r>
        <w:rPr>
          <w:rFonts w:hint="default" w:ascii="Times New Roman" w:hAnsi="Times New Roman" w:eastAsia="仿宋_GB2312" w:cs="Times New Roman"/>
          <w:color w:val="auto"/>
          <w:sz w:val="32"/>
          <w:szCs w:val="32"/>
          <w:highlight w:val="none"/>
          <w:lang w:val="en-US" w:eastAsia="zh-CN"/>
        </w:rPr>
        <w:t>208.92</w:t>
      </w:r>
      <w:r>
        <w:rPr>
          <w:rFonts w:hint="default" w:ascii="Times New Roman" w:hAnsi="Times New Roman" w:eastAsia="仿宋_GB2312" w:cs="Times New Roman"/>
          <w:color w:val="auto"/>
          <w:sz w:val="32"/>
          <w:szCs w:val="32"/>
          <w:highlight w:val="none"/>
        </w:rPr>
        <w:t>万元。实施基层医疗机构激励机制改革，年诊疗人数同比增长55%；月塘街道社区卫生服务中心达到“优质服务基层行”国家推荐标准。养老服务持续优化，积极响应“9901”养老服务新模式，基本养老服务覆盖率达到100%；为270户困难老年人完成适老化改造。文旅事业蓬勃发展，区图书馆、文化馆正式运营，引进温德姆酒店等4个项目，加快推进钻石空间体育公园项目建设；区青少年足球队荣获第四届“中国足球发展基金会杯”中国城市少儿足球联赛总决赛亚军。</w:t>
      </w:r>
      <w:r>
        <w:rPr>
          <w:rFonts w:hint="default" w:ascii="Times New Roman" w:hAnsi="Times New Roman" w:eastAsia="仿宋_GB2312" w:cs="Times New Roman"/>
          <w:b/>
          <w:color w:val="auto"/>
          <w:sz w:val="32"/>
          <w:szCs w:val="32"/>
          <w:highlight w:val="none"/>
        </w:rPr>
        <w:t>社会大局平稳有序。</w:t>
      </w:r>
      <w:r>
        <w:rPr>
          <w:rFonts w:hint="default" w:ascii="Times New Roman" w:hAnsi="Times New Roman" w:eastAsia="仿宋_GB2312" w:cs="Times New Roman"/>
          <w:color w:val="auto"/>
          <w:sz w:val="32"/>
          <w:szCs w:val="32"/>
          <w:highlight w:val="none"/>
        </w:rPr>
        <w:t>平台公司稳步转型；扎实推进“保交楼、保民生、保稳定”，华晨格林水岸等一批“保交楼”项目顺利交房；突出“打防结合”，防范和处置非法集资及金融风险平安建设排名全市第一，</w:t>
      </w:r>
      <w:r>
        <w:rPr>
          <w:rFonts w:hint="default" w:ascii="Times New Roman" w:hAnsi="Times New Roman" w:eastAsia="仿宋_GB2312" w:cs="Times New Roman"/>
          <w:color w:val="auto"/>
          <w:spacing w:val="-6"/>
          <w:sz w:val="32"/>
          <w:szCs w:val="32"/>
          <w:highlight w:val="none"/>
        </w:rPr>
        <w:t>牢牢守住了重大风险不发生的底线。</w:t>
      </w:r>
      <w:r>
        <w:rPr>
          <w:rFonts w:hint="default" w:ascii="Times New Roman" w:hAnsi="Times New Roman" w:eastAsia="仿宋_GB2312" w:cs="Times New Roman"/>
          <w:color w:val="auto"/>
          <w:sz w:val="32"/>
          <w:szCs w:val="32"/>
          <w:highlight w:val="none"/>
        </w:rPr>
        <w:t>严格落实“六个一批”风险缓释措施，实现“短变长、高变低、刚变柔”，获得1.5亿元政府债务</w:t>
      </w:r>
      <w:r>
        <w:rPr>
          <w:rFonts w:hint="default" w:ascii="Times New Roman" w:hAnsi="Times New Roman" w:eastAsia="仿宋_GB2312" w:cs="Times New Roman"/>
          <w:color w:val="auto"/>
          <w:sz w:val="32"/>
          <w:szCs w:val="32"/>
          <w:highlight w:val="none"/>
          <w:shd w:val="clear" w:color="auto" w:fill="FFFFFF"/>
        </w:rPr>
        <w:t>限额激励。全力打好安全生产翻身仗，全年安全生产事故和死亡人数双下降，</w:t>
      </w:r>
      <w:r>
        <w:rPr>
          <w:rFonts w:hint="default" w:ascii="Times New Roman" w:hAnsi="Times New Roman" w:eastAsia="仿宋_GB2312" w:cs="Times New Roman"/>
          <w:color w:val="auto"/>
          <w:sz w:val="32"/>
          <w:szCs w:val="32"/>
          <w:highlight w:val="none"/>
        </w:rPr>
        <w:t>持续推进自建房安全隐患整治。扫黑除恶斗争、电信网络诈骗、禁毒等工作有力有效。</w:t>
      </w:r>
    </w:p>
    <w:p>
      <w:pPr>
        <w:overflowPunct w:val="0"/>
        <w:spacing w:line="600" w:lineRule="exact"/>
        <w:ind w:firstLine="640"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shd w:val="clear" w:color="auto" w:fill="FFFFFF"/>
        </w:rPr>
        <w:t>总的来看，经济社会发展承压而上，全年计划执行情况相对较好，但</w:t>
      </w:r>
      <w:r>
        <w:rPr>
          <w:rFonts w:hint="default" w:ascii="Times New Roman" w:hAnsi="Times New Roman" w:eastAsia="仿宋_GB2312" w:cs="Times New Roman"/>
          <w:color w:val="auto"/>
          <w:sz w:val="32"/>
          <w:szCs w:val="32"/>
          <w:highlight w:val="none"/>
        </w:rPr>
        <w:t>从主要的经济指标情况来看，部分指标</w:t>
      </w:r>
      <w:r>
        <w:rPr>
          <w:rFonts w:hint="default" w:ascii="Times New Roman" w:hAnsi="Times New Roman" w:eastAsia="仿宋_GB2312" w:cs="Times New Roman"/>
          <w:color w:val="auto"/>
          <w:sz w:val="32"/>
          <w:szCs w:val="32"/>
          <w:highlight w:val="none"/>
          <w:shd w:val="clear" w:color="auto" w:fill="FFFFFF"/>
        </w:rPr>
        <w:t>离年初的目标有差距，也面临着较大困难和问题，如</w:t>
      </w:r>
      <w:r>
        <w:rPr>
          <w:rFonts w:hint="default" w:ascii="Times New Roman" w:hAnsi="Times New Roman" w:eastAsia="仿宋_GB2312" w:cs="Times New Roman"/>
          <w:color w:val="auto"/>
          <w:sz w:val="32"/>
          <w:szCs w:val="32"/>
          <w:highlight w:val="none"/>
          <w:shd w:val="clear" w:color="auto" w:fill="FFFFFF"/>
          <w:lang w:val="en-US" w:eastAsia="zh-CN"/>
        </w:rPr>
        <w:t>高新技术类</w:t>
      </w:r>
      <w:r>
        <w:rPr>
          <w:rFonts w:hint="default" w:ascii="Times New Roman" w:hAnsi="Times New Roman" w:eastAsia="仿宋_GB2312" w:cs="Times New Roman"/>
          <w:color w:val="auto"/>
          <w:sz w:val="32"/>
          <w:szCs w:val="32"/>
          <w:highlight w:val="none"/>
          <w:shd w:val="clear" w:color="auto" w:fill="FFFFFF"/>
        </w:rPr>
        <w:t>民间投资增速乏力；工业支撑力度不足；房地产市场持续低迷；规上营利性服务业营业企业数量少、规模小且质量不高，民生领域存在不少短板等问题。</w:t>
      </w:r>
      <w:r>
        <w:rPr>
          <w:rFonts w:hint="default" w:ascii="Times New Roman" w:hAnsi="Times New Roman" w:eastAsia="仿宋_GB2312" w:cs="Times New Roman"/>
          <w:color w:val="auto"/>
          <w:sz w:val="32"/>
          <w:szCs w:val="32"/>
          <w:highlight w:val="none"/>
        </w:rPr>
        <w:t>总体来看，在宏观环境严峻复杂的形势下，我们还是稳住了全区经济发展大盘，这是区委、区政府坚持以习近平新时代中国特色社会主义思想指导全区高质量发展的结果，是区人大有效监督和区政协大力支持的结果，是各部门拼搏实干和全区人民团结奋斗的结果，值得倍加珍惜。</w:t>
      </w:r>
    </w:p>
    <w:p>
      <w:pPr>
        <w:overflowPunct w:val="0"/>
        <w:spacing w:line="600" w:lineRule="exact"/>
        <w:ind w:firstLine="640"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黑体" w:cs="Times New Roman"/>
          <w:color w:val="auto"/>
          <w:sz w:val="32"/>
          <w:szCs w:val="32"/>
          <w:highlight w:val="none"/>
          <w:shd w:val="clear" w:color="auto" w:fill="FFFFFF"/>
        </w:rPr>
        <w:t>二、</w:t>
      </w:r>
      <w:r>
        <w:rPr>
          <w:rFonts w:hint="default" w:ascii="Times New Roman" w:hAnsi="Times New Roman" w:cs="Times New Roman"/>
          <w:color w:val="auto"/>
          <w:sz w:val="32"/>
          <w:szCs w:val="32"/>
          <w:highlight w:val="none"/>
          <w:shd w:val="clear" w:color="auto" w:fill="FFFFFF"/>
        </w:rPr>
        <w:t>202</w:t>
      </w:r>
      <w:r>
        <w:rPr>
          <w:rFonts w:hint="default" w:ascii="Times New Roman" w:hAnsi="Times New Roman" w:cs="Times New Roman" w:eastAsiaTheme="minorEastAsia"/>
          <w:color w:val="auto"/>
          <w:sz w:val="32"/>
          <w:szCs w:val="32"/>
          <w:highlight w:val="none"/>
          <w:shd w:val="clear" w:color="auto" w:fill="FFFFFF"/>
        </w:rPr>
        <w:t>4</w:t>
      </w:r>
      <w:r>
        <w:rPr>
          <w:rFonts w:hint="default" w:ascii="Times New Roman" w:hAnsi="Times New Roman" w:eastAsia="黑体" w:cs="Times New Roman"/>
          <w:color w:val="auto"/>
          <w:sz w:val="32"/>
          <w:szCs w:val="32"/>
          <w:highlight w:val="none"/>
          <w:shd w:val="clear" w:color="auto" w:fill="FFFFFF"/>
        </w:rPr>
        <w:t>年经济和社会发展形势及预期目标</w:t>
      </w:r>
    </w:p>
    <w:p>
      <w:pPr>
        <w:overflowPunct w:val="0"/>
        <w:spacing w:line="600" w:lineRule="exact"/>
        <w:ind w:firstLine="640" w:firstLineChars="200"/>
        <w:rPr>
          <w:rFonts w:hint="default" w:ascii="Times New Roman" w:hAnsi="Times New Roman" w:eastAsia="仿宋_GB2312" w:cs="Times New Roman"/>
          <w:color w:val="auto"/>
          <w:kern w:val="21"/>
          <w:sz w:val="32"/>
          <w:szCs w:val="32"/>
          <w:highlight w:val="none"/>
        </w:rPr>
      </w:pPr>
      <w:r>
        <w:rPr>
          <w:rFonts w:hint="default" w:ascii="Times New Roman" w:hAnsi="Times New Roman" w:eastAsia="仿宋_GB2312" w:cs="Times New Roman"/>
          <w:color w:val="auto"/>
          <w:kern w:val="21"/>
          <w:sz w:val="32"/>
          <w:szCs w:val="32"/>
          <w:highlight w:val="none"/>
        </w:rPr>
        <w:t>2024年是“十四五”规划的攻坚之年，必须把推进中国式现代化作为最大的政治，聚焦经济建设这一中心工作和高质量发展这一首要任务，做好经济社会发展工作意义重大，我们要进一步推动经济回升向好需要克服一些困难和挑战。</w:t>
      </w:r>
    </w:p>
    <w:p>
      <w:pPr>
        <w:overflowPunct w:val="0"/>
        <w:spacing w:line="600" w:lineRule="exact"/>
        <w:ind w:firstLine="643"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b/>
          <w:color w:val="auto"/>
          <w:sz w:val="32"/>
          <w:szCs w:val="32"/>
          <w:highlight w:val="none"/>
          <w:shd w:val="clear" w:color="auto" w:fill="FFFFFF"/>
        </w:rPr>
        <w:t>从国际国内上看，</w:t>
      </w:r>
      <w:r>
        <w:rPr>
          <w:rFonts w:hint="default" w:ascii="Times New Roman" w:hAnsi="Times New Roman" w:eastAsia="仿宋_GB2312" w:cs="Times New Roman"/>
          <w:color w:val="auto"/>
          <w:sz w:val="32"/>
          <w:szCs w:val="32"/>
          <w:highlight w:val="none"/>
          <w:shd w:val="clear" w:color="auto" w:fill="FFFFFF"/>
        </w:rPr>
        <w:t>西方国家在政治、经济、军事、文化等多领域主导国际事务，强制输出霸权主义、强权政治，俄乌、巴以、印巴等局部冲突不断，世界仍不太平。但同时也要看到，我国经济韧性强、潜力大、活力足，我国发展面临的有利条件强于不利因素，经济回升向好、长期向好的基本趋势没有改变，要增强信心和底气。</w:t>
      </w:r>
      <w:r>
        <w:rPr>
          <w:rFonts w:hint="default" w:ascii="Times New Roman" w:hAnsi="Times New Roman" w:eastAsia="仿宋_GB2312" w:cs="Times New Roman"/>
          <w:b/>
          <w:color w:val="auto"/>
          <w:sz w:val="32"/>
          <w:szCs w:val="32"/>
          <w:highlight w:val="none"/>
          <w:shd w:val="clear" w:color="auto" w:fill="FFFFFF"/>
        </w:rPr>
        <w:t>从省市上看，</w:t>
      </w:r>
      <w:r>
        <w:rPr>
          <w:rFonts w:hint="default" w:ascii="Times New Roman" w:hAnsi="Times New Roman" w:eastAsia="仿宋_GB2312" w:cs="Times New Roman"/>
          <w:color w:val="auto"/>
          <w:sz w:val="32"/>
          <w:szCs w:val="32"/>
          <w:highlight w:val="none"/>
          <w:shd w:val="clear" w:color="auto" w:fill="FFFFFF"/>
        </w:rPr>
        <w:t>湖南描绘“三高四新”美好蓝图，利用我国经济总体回升、宏观政策环境利好的机遇，聚焦打好经济增长主动仗、科技创新攻坚仗、优化</w:t>
      </w:r>
      <w:r>
        <w:rPr>
          <w:rFonts w:hint="default" w:ascii="Times New Roman" w:hAnsi="Times New Roman" w:eastAsia="仿宋_GB2312" w:cs="Times New Roman"/>
          <w:color w:val="auto"/>
          <w:sz w:val="32"/>
          <w:szCs w:val="32"/>
          <w:highlight w:val="none"/>
        </w:rPr>
        <w:t>发展</w:t>
      </w:r>
      <w:r>
        <w:rPr>
          <w:rFonts w:hint="default" w:ascii="Times New Roman" w:hAnsi="Times New Roman" w:eastAsia="仿宋_GB2312" w:cs="Times New Roman"/>
          <w:color w:val="auto"/>
          <w:sz w:val="32"/>
          <w:szCs w:val="32"/>
          <w:highlight w:val="none"/>
          <w:shd w:val="clear" w:color="auto" w:fill="FFFFFF"/>
        </w:rPr>
        <w:t>环境持久仗等“发展六仗”。面对世界百年之大变局，机遇和挑战并存。株洲作为长株潭一体化的中心城市之一，按照“聚焦、裂变、创新、升级、品牌”工作思路，积极谋划“制造名城 幸福株洲”发展定位，经济社会发展将行稳致远。</w:t>
      </w:r>
      <w:r>
        <w:rPr>
          <w:rFonts w:hint="default" w:ascii="Times New Roman" w:hAnsi="Times New Roman" w:eastAsia="仿宋_GB2312" w:cs="Times New Roman"/>
          <w:b/>
          <w:color w:val="auto"/>
          <w:sz w:val="32"/>
          <w:szCs w:val="32"/>
          <w:highlight w:val="none"/>
          <w:shd w:val="clear" w:color="auto" w:fill="FFFFFF"/>
        </w:rPr>
        <w:t>从荷塘自身上看，</w:t>
      </w:r>
      <w:r>
        <w:rPr>
          <w:rFonts w:hint="default" w:ascii="Times New Roman" w:hAnsi="Times New Roman" w:eastAsia="仿宋_GB2312" w:cs="Times New Roman"/>
          <w:color w:val="auto"/>
          <w:sz w:val="32"/>
          <w:szCs w:val="32"/>
          <w:highlight w:val="none"/>
          <w:shd w:val="clear" w:color="auto" w:fill="FFFFFF"/>
        </w:rPr>
        <w:t>紧盯“一区两城”总体定位，</w:t>
      </w:r>
      <w:r>
        <w:rPr>
          <w:rFonts w:hint="default" w:ascii="Times New Roman" w:hAnsi="Times New Roman" w:eastAsia="仿宋_GB2312" w:cs="Times New Roman"/>
          <w:color w:val="auto"/>
          <w:sz w:val="32"/>
          <w:szCs w:val="32"/>
          <w:highlight w:val="none"/>
        </w:rPr>
        <w:t>我们自身两大“百亿”项目也取得实质性突破，</w:t>
      </w:r>
      <w:r>
        <w:rPr>
          <w:rFonts w:hint="default" w:ascii="Times New Roman" w:hAnsi="Times New Roman" w:eastAsia="仿宋_GB2312" w:cs="Times New Roman"/>
          <w:color w:val="auto"/>
          <w:kern w:val="21"/>
          <w:sz w:val="32"/>
          <w:szCs w:val="32"/>
          <w:highlight w:val="none"/>
        </w:rPr>
        <w:t>产业链强链延链补链，三一智慧钢铁城、先进硬质材料产业园渐入收获期，</w:t>
      </w:r>
      <w:r>
        <w:rPr>
          <w:rFonts w:hint="default" w:ascii="Times New Roman" w:hAnsi="Times New Roman" w:eastAsia="仿宋_GB2312" w:cs="Times New Roman"/>
          <w:color w:val="auto"/>
          <w:sz w:val="32"/>
          <w:szCs w:val="32"/>
          <w:highlight w:val="none"/>
        </w:rPr>
        <w:t>为产业强区奠定了坚实基础。我们坚持基层治理先行，重点领域保障能力和水平进一步提升，</w:t>
      </w:r>
      <w:r>
        <w:rPr>
          <w:rFonts w:hint="default" w:ascii="Times New Roman" w:hAnsi="Times New Roman" w:eastAsia="仿宋_GB2312" w:cs="Times New Roman"/>
          <w:color w:val="auto"/>
          <w:sz w:val="32"/>
          <w:szCs w:val="32"/>
          <w:highlight w:val="none"/>
          <w:shd w:val="clear" w:color="auto" w:fill="FFFFFF"/>
        </w:rPr>
        <w:t>经济社会发展承压而上，展现出良好韧性，取得了较快进步。</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综合考虑多方面因素，2024年经济社会发展的主要预期目标是：地区生产总值增长</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%左右，规模工业增加值增长</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%左右，固定资产投资增长</w:t>
      </w:r>
      <w:r>
        <w:rPr>
          <w:rFonts w:hint="default" w:ascii="Times New Roman" w:hAnsi="Times New Roman" w:eastAsia="仿宋_GB2312" w:cs="Times New Roman"/>
          <w:color w:val="auto"/>
          <w:sz w:val="32"/>
          <w:szCs w:val="32"/>
          <w:highlight w:val="none"/>
          <w:lang w:val="en-US" w:eastAsia="zh-CN"/>
        </w:rPr>
        <w:t>5.5</w:t>
      </w:r>
      <w:r>
        <w:rPr>
          <w:rFonts w:hint="default" w:ascii="Times New Roman" w:hAnsi="Times New Roman" w:eastAsia="仿宋_GB2312" w:cs="Times New Roman"/>
          <w:color w:val="auto"/>
          <w:sz w:val="32"/>
          <w:szCs w:val="32"/>
          <w:highlight w:val="none"/>
        </w:rPr>
        <w:t>%左右，地方一般公共预算收入增长</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%左右，社会消费品零售总额增长</w:t>
      </w:r>
      <w:r>
        <w:rPr>
          <w:rFonts w:hint="default" w:ascii="Times New Roman" w:hAnsi="Times New Roman" w:eastAsia="仿宋_GB2312"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rPr>
        <w:t>%左右，进出口总额增长</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以上</w:t>
      </w:r>
      <w:r>
        <w:rPr>
          <w:rFonts w:hint="default" w:ascii="Times New Roman" w:hAnsi="Times New Roman" w:eastAsia="仿宋_GB2312" w:cs="Times New Roman"/>
          <w:color w:val="auto"/>
          <w:sz w:val="32"/>
          <w:szCs w:val="32"/>
          <w:highlight w:val="none"/>
        </w:rPr>
        <w:t>，居民收入增长高于经济增长，城镇调查失业率低于全市平均水平，完成国、省、市下达的节能减排任务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完成区级储备粮轮换542.19吨</w:t>
      </w:r>
      <w:r>
        <w:rPr>
          <w:rFonts w:hint="default" w:ascii="Times New Roman" w:hAnsi="Times New Roman" w:eastAsia="仿宋_GB2312" w:cs="Times New Roman"/>
          <w:color w:val="auto"/>
          <w:sz w:val="32"/>
          <w:szCs w:val="32"/>
          <w:highlight w:val="none"/>
        </w:rPr>
        <w:t>。</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rPr>
        <w:t>三、</w:t>
      </w:r>
      <w:r>
        <w:rPr>
          <w:rFonts w:hint="default" w:ascii="Times New Roman" w:hAnsi="Times New Roman" w:eastAsia="微软雅黑" w:cs="Times New Roman"/>
          <w:color w:val="auto"/>
          <w:sz w:val="32"/>
          <w:szCs w:val="32"/>
          <w:highlight w:val="none"/>
        </w:rPr>
        <w:t>2024</w:t>
      </w:r>
      <w:r>
        <w:rPr>
          <w:rFonts w:hint="default" w:ascii="Times New Roman" w:hAnsi="Times New Roman" w:eastAsia="黑体" w:cs="Times New Roman"/>
          <w:color w:val="auto"/>
          <w:sz w:val="32"/>
          <w:szCs w:val="32"/>
          <w:highlight w:val="none"/>
        </w:rPr>
        <w:t>年国民经济和社会发展的主要任务</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按照中央、省、市经济工作会议要求，</w:t>
      </w:r>
      <w:r>
        <w:rPr>
          <w:rFonts w:hint="default" w:ascii="Times New Roman" w:hAnsi="Times New Roman" w:eastAsia="黑体" w:cs="Times New Roman"/>
          <w:bCs/>
          <w:color w:val="auto"/>
          <w:sz w:val="32"/>
          <w:szCs w:val="32"/>
          <w:highlight w:val="none"/>
        </w:rPr>
        <w:t>2024年要</w:t>
      </w:r>
      <w:r>
        <w:rPr>
          <w:rFonts w:hint="default" w:ascii="Times New Roman" w:hAnsi="Times New Roman" w:eastAsia="黑体" w:cs="Times New Roman"/>
          <w:color w:val="auto"/>
          <w:sz w:val="32"/>
          <w:szCs w:val="32"/>
          <w:highlight w:val="none"/>
        </w:rPr>
        <w:t>坚持以习近平新时代中国特色社会主义思想为指导，全面贯彻落实党的二十大和二十届二中全会精神，深入落实习近平总书记关于湖南工作的重要讲话和指示批示精神，坚持稳中求进工作总基调，锚定“三高四新”美好蓝图，坚持“聚焦、裂变、创新、升级、品牌”工作思路，统筹新型城镇化和乡村全面振兴，统筹高质量发展和高水平安全，切实增强经济活力、防范化解风险、改善社会预期，巩固和增强经济回升向好态势，持续推动经济实现质的有效提升和量的合理增长，增进民生福祉，保持社会稳定，全力以赴加快建设“一区两城”，为全面建设社会主义现代化新荷塘奠定更加坚实的基础。</w:t>
      </w:r>
      <w:r>
        <w:rPr>
          <w:rFonts w:hint="default" w:ascii="Times New Roman" w:hAnsi="Times New Roman" w:eastAsia="仿宋_GB2312" w:cs="Times New Roman"/>
          <w:color w:val="auto"/>
          <w:sz w:val="32"/>
          <w:szCs w:val="32"/>
          <w:highlight w:val="none"/>
        </w:rPr>
        <w:t>重点做好以下几个方面的工作：</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一是以“两城建设”为重点，厚植经济发展动能。</w:t>
      </w:r>
      <w:r>
        <w:rPr>
          <w:rFonts w:hint="default" w:ascii="Times New Roman" w:hAnsi="Times New Roman" w:eastAsia="仿宋_GB2312" w:cs="Times New Roman"/>
          <w:color w:val="auto"/>
          <w:kern w:val="21"/>
          <w:sz w:val="32"/>
          <w:szCs w:val="32"/>
          <w:highlight w:val="none"/>
        </w:rPr>
        <w:t>持续推进项目建设。大力开展项目攻坚，</w:t>
      </w:r>
      <w:r>
        <w:rPr>
          <w:rFonts w:hint="default" w:ascii="Times New Roman" w:hAnsi="Times New Roman" w:eastAsia="仿宋_GB2312" w:cs="Times New Roman"/>
          <w:color w:val="auto"/>
          <w:sz w:val="32"/>
          <w:szCs w:val="32"/>
          <w:highlight w:val="none"/>
        </w:rPr>
        <w:t>主动靠前服务，加快推进项目前期工作和项目审批速度,重点围绕重点项目全生命周期管理机制，全年省、市重点项目6</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个，总投资</w:t>
      </w:r>
      <w:r>
        <w:rPr>
          <w:rFonts w:hint="eastAsia" w:eastAsia="仿宋_GB2312" w:cs="Times New Roman"/>
          <w:color w:val="auto"/>
          <w:sz w:val="32"/>
          <w:szCs w:val="32"/>
          <w:highlight w:val="none"/>
          <w:lang w:val="en-US" w:eastAsia="zh-CN"/>
        </w:rPr>
        <w:t>387.29</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val="en-US" w:eastAsia="zh-CN"/>
        </w:rPr>
        <w:t>年度</w:t>
      </w:r>
      <w:r>
        <w:rPr>
          <w:rFonts w:hint="default" w:ascii="Times New Roman" w:hAnsi="Times New Roman" w:eastAsia="仿宋_GB2312" w:cs="Times New Roman"/>
          <w:color w:val="auto"/>
          <w:sz w:val="32"/>
          <w:szCs w:val="32"/>
          <w:highlight w:val="none"/>
        </w:rPr>
        <w:t>计划投资</w:t>
      </w:r>
      <w:r>
        <w:rPr>
          <w:rFonts w:hint="eastAsia" w:eastAsia="仿宋_GB2312" w:cs="Times New Roman"/>
          <w:color w:val="auto"/>
          <w:sz w:val="32"/>
          <w:szCs w:val="32"/>
          <w:highlight w:val="none"/>
          <w:lang w:val="en-US" w:eastAsia="zh-CN"/>
        </w:rPr>
        <w:t>84.63</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开工</w:t>
      </w:r>
      <w:r>
        <w:rPr>
          <w:rFonts w:hint="default" w:ascii="Times New Roman" w:hAnsi="Times New Roman" w:eastAsia="仿宋_GB2312" w:cs="Times New Roman"/>
          <w:color w:val="auto"/>
          <w:sz w:val="32"/>
          <w:szCs w:val="32"/>
          <w:highlight w:val="none"/>
        </w:rPr>
        <w:t>项目</w:t>
      </w:r>
      <w:r>
        <w:rPr>
          <w:rFonts w:hint="eastAsia" w:eastAsia="仿宋_GB2312"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rPr>
        <w:t>个，</w:t>
      </w:r>
      <w:r>
        <w:rPr>
          <w:rFonts w:hint="default" w:ascii="Times New Roman" w:hAnsi="Times New Roman" w:eastAsia="仿宋_GB2312" w:cs="Times New Roman"/>
          <w:color w:val="auto"/>
          <w:sz w:val="32"/>
          <w:szCs w:val="32"/>
          <w:highlight w:val="none"/>
          <w:lang w:val="en-US" w:eastAsia="zh-CN"/>
        </w:rPr>
        <w:t>竣工</w:t>
      </w:r>
      <w:r>
        <w:rPr>
          <w:rFonts w:hint="default" w:ascii="Times New Roman" w:hAnsi="Times New Roman" w:eastAsia="仿宋_GB2312" w:cs="Times New Roman"/>
          <w:color w:val="auto"/>
          <w:sz w:val="32"/>
          <w:szCs w:val="32"/>
          <w:highlight w:val="none"/>
        </w:rPr>
        <w:t>项目</w:t>
      </w:r>
      <w:r>
        <w:rPr>
          <w:rFonts w:hint="eastAsia"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个。三一智慧钢铁城项目一期三标段、二期一标段竣工并投入使用，加快推进三一加工中心、铁路专线等项目建设；先进硬质材料产业园实现12家企业入驻并投产，启动二期厂房建设，莞深刀具展示交易中心全面运营。</w:t>
      </w:r>
      <w:r>
        <w:rPr>
          <w:rFonts w:hint="default" w:ascii="Times New Roman" w:hAnsi="Times New Roman" w:eastAsia="仿宋_GB2312" w:cs="Times New Roman"/>
          <w:b/>
          <w:color w:val="auto"/>
          <w:sz w:val="32"/>
          <w:szCs w:val="32"/>
          <w:highlight w:val="none"/>
        </w:rPr>
        <w:t>建强产业园区。</w:t>
      </w:r>
      <w:r>
        <w:rPr>
          <w:rFonts w:hint="default" w:ascii="Times New Roman" w:hAnsi="Times New Roman" w:eastAsia="仿宋_GB2312" w:cs="Times New Roman"/>
          <w:color w:val="auto"/>
          <w:sz w:val="32"/>
          <w:szCs w:val="32"/>
          <w:highlight w:val="none"/>
        </w:rPr>
        <w:t>坚定不移创建“五好”园区，探索园区开发新途径，推动金山产投公司实体化运营。争创国家级绿色园区，推动绿色产城融合发展。探索“民建公助”发展模式，引导社会资本参与“园中园”建设。加快园区金桥路、自来水加压泵站、金山变电站、工业气体集中供应站等“水电路气网”基础配套设施建设。建立园区赋权事项“能放能收”的动态调整机制，提高行政管理和审批监督效率。</w:t>
      </w:r>
      <w:r>
        <w:rPr>
          <w:rFonts w:hint="default" w:ascii="Times New Roman" w:hAnsi="Times New Roman" w:eastAsia="仿宋_GB2312" w:cs="Times New Roman"/>
          <w:b/>
          <w:color w:val="auto"/>
          <w:sz w:val="32"/>
          <w:szCs w:val="32"/>
          <w:highlight w:val="none"/>
        </w:rPr>
        <w:t>强化要素保障</w:t>
      </w:r>
      <w:r>
        <w:rPr>
          <w:rFonts w:hint="default" w:ascii="Times New Roman" w:hAnsi="Times New Roman" w:eastAsia="仿宋_GB2312" w:cs="Times New Roman"/>
          <w:color w:val="auto"/>
          <w:sz w:val="32"/>
          <w:szCs w:val="32"/>
          <w:highlight w:val="none"/>
        </w:rPr>
        <w:t>。大力推进荷塘高新技术产业开发区调区扩区工作落地落实，破除发展瓶颈。深化“亩均效益”分类综合评价，加大批而未供和闲置土地处置力度，提升土地集约化利用水平。启动京港澳高速扩容项目征拆，力争完成征地1000亩，征收国有房屋面积3万多平方米。</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二是以“招商引资”为引擎，增强经济发展能级。</w:t>
      </w:r>
      <w:r>
        <w:rPr>
          <w:rFonts w:hint="default" w:ascii="Times New Roman" w:hAnsi="Times New Roman" w:eastAsia="仿宋_GB2312" w:cs="Times New Roman"/>
          <w:b/>
          <w:color w:val="auto"/>
          <w:kern w:val="21"/>
          <w:sz w:val="32"/>
          <w:szCs w:val="32"/>
          <w:highlight w:val="none"/>
        </w:rPr>
        <w:t>聚焦龙头企业。</w:t>
      </w:r>
      <w:r>
        <w:rPr>
          <w:rFonts w:hint="default" w:ascii="Times New Roman" w:hAnsi="Times New Roman" w:eastAsia="仿宋_GB2312" w:cs="Times New Roman"/>
          <w:color w:val="auto"/>
          <w:sz w:val="32"/>
          <w:szCs w:val="32"/>
          <w:highlight w:val="none"/>
        </w:rPr>
        <w:t>力争完成高性能粉末产业园、莞深协作示范园、湖南顶立科技股份有限公司等重点项目的签约工作，实现产业招商新突破。加大外贸企业扶持力度，紧密对接湖南自贸区，借助株洲获批跨境电商综试区优势，加快跨境电商发展，着力引进外贸龙头企业，培育外贸新的增长极。</w:t>
      </w:r>
      <w:r>
        <w:rPr>
          <w:rFonts w:hint="default" w:ascii="Times New Roman" w:hAnsi="Times New Roman" w:eastAsia="仿宋_GB2312" w:cs="Times New Roman"/>
          <w:b/>
          <w:color w:val="auto"/>
          <w:kern w:val="21"/>
          <w:sz w:val="32"/>
          <w:szCs w:val="32"/>
          <w:highlight w:val="none"/>
        </w:rPr>
        <w:t>聚焦链上招商。</w:t>
      </w:r>
      <w:r>
        <w:rPr>
          <w:rFonts w:hint="default" w:ascii="Times New Roman" w:hAnsi="Times New Roman" w:eastAsia="仿宋_GB2312" w:cs="Times New Roman"/>
          <w:color w:val="auto"/>
          <w:sz w:val="32"/>
          <w:szCs w:val="32"/>
          <w:highlight w:val="none"/>
        </w:rPr>
        <w:t>聚焦两个“百亿”项目精准开展以商招商、产业链招商、标厂招商、基金招商，力争引进亿元以上项目29个，其中引进10亿元以上项目1个，新引进“三类500强”项目3个，新注册“三类500强”企业投资项目1个，湘商企业投资项目6个。</w:t>
      </w:r>
      <w:r>
        <w:rPr>
          <w:rFonts w:hint="default" w:ascii="Times New Roman" w:hAnsi="Times New Roman" w:eastAsia="仿宋_GB2312" w:cs="Times New Roman"/>
          <w:b/>
          <w:color w:val="auto"/>
          <w:sz w:val="32"/>
          <w:szCs w:val="32"/>
          <w:highlight w:val="none"/>
        </w:rPr>
        <w:t>聚焦争资争项。</w:t>
      </w:r>
      <w:r>
        <w:rPr>
          <w:rFonts w:hint="default" w:ascii="Times New Roman" w:hAnsi="Times New Roman" w:eastAsia="仿宋_GB2312" w:cs="Times New Roman"/>
          <w:color w:val="auto"/>
          <w:sz w:val="32"/>
          <w:szCs w:val="32"/>
          <w:highlight w:val="none"/>
        </w:rPr>
        <w:t>紧盯上级政策走向、资金动向、项目投向，围绕重大政策、重点领域储备专项债项目共</w:t>
      </w:r>
      <w:r>
        <w:rPr>
          <w:rFonts w:hint="default" w:ascii="Times New Roman" w:hAnsi="Times New Roman" w:eastAsia="仿宋_GB2312" w:cs="Times New Roman"/>
          <w:color w:val="auto"/>
          <w:kern w:val="2"/>
          <w:sz w:val="32"/>
          <w:szCs w:val="32"/>
          <w:highlight w:val="none"/>
          <w:lang w:val="en-US" w:eastAsia="zh-CN" w:bidi="ar-SA"/>
        </w:rPr>
        <w:t>储备共27个，总投资93.23亿元，专项债券总资金需求49.39亿元，</w:t>
      </w:r>
      <w:r>
        <w:rPr>
          <w:rFonts w:hint="default" w:ascii="Times New Roman" w:hAnsi="Times New Roman" w:eastAsia="仿宋_GB2312" w:cs="Times New Roman"/>
          <w:color w:val="auto"/>
          <w:sz w:val="32"/>
          <w:szCs w:val="32"/>
          <w:highlight w:val="none"/>
        </w:rPr>
        <w:t>其中2024年度专项债券需求</w:t>
      </w:r>
      <w:r>
        <w:rPr>
          <w:rFonts w:hint="default" w:ascii="Times New Roman" w:hAnsi="Times New Roman" w:eastAsia="仿宋_GB2312" w:cs="Times New Roman"/>
          <w:color w:val="auto"/>
          <w:sz w:val="32"/>
          <w:szCs w:val="32"/>
          <w:highlight w:val="none"/>
          <w:lang w:val="en-US" w:eastAsia="zh-CN"/>
        </w:rPr>
        <w:t>36.69</w:t>
      </w:r>
      <w:r>
        <w:rPr>
          <w:rFonts w:hint="default" w:ascii="Times New Roman" w:hAnsi="Times New Roman" w:eastAsia="仿宋_GB2312" w:cs="Times New Roman"/>
          <w:color w:val="auto"/>
          <w:sz w:val="32"/>
          <w:szCs w:val="32"/>
          <w:highlight w:val="none"/>
        </w:rPr>
        <w:t>亿元。中央预算内项目储备</w:t>
      </w:r>
      <w:r>
        <w:rPr>
          <w:rFonts w:hint="default"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个，</w:t>
      </w:r>
      <w:r>
        <w:rPr>
          <w:rFonts w:hint="default" w:ascii="Times New Roman" w:hAnsi="Times New Roman" w:eastAsia="仿宋_GB2312" w:cs="Times New Roman"/>
          <w:color w:val="auto"/>
          <w:sz w:val="32"/>
          <w:szCs w:val="32"/>
          <w:highlight w:val="none"/>
          <w:lang w:val="en-US" w:eastAsia="zh-CN"/>
        </w:rPr>
        <w:t>总投资17.4亿元，</w:t>
      </w:r>
      <w:r>
        <w:rPr>
          <w:rFonts w:hint="default" w:ascii="Times New Roman" w:hAnsi="Times New Roman" w:eastAsia="仿宋_GB2312" w:cs="Times New Roman"/>
          <w:color w:val="auto"/>
          <w:sz w:val="32"/>
          <w:szCs w:val="32"/>
          <w:highlight w:val="none"/>
        </w:rPr>
        <w:t>共申请资金</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kern w:val="0"/>
          <w:sz w:val="32"/>
          <w:szCs w:val="32"/>
          <w:highlight w:val="none"/>
          <w:lang w:val="en-US" w:eastAsia="zh-CN" w:bidi="ar-SA"/>
        </w:rPr>
        <w:t>储备2024年特别国债项目33个，总投资19.57亿元，共申请资金10.12亿元</w:t>
      </w:r>
      <w:r>
        <w:rPr>
          <w:rFonts w:hint="default" w:ascii="Times New Roman" w:hAnsi="Times New Roman" w:eastAsia="仿宋_GB2312" w:cs="Times New Roman"/>
          <w:color w:val="auto"/>
          <w:sz w:val="32"/>
          <w:szCs w:val="32"/>
          <w:highlight w:val="none"/>
        </w:rPr>
        <w:t>。</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三是以“优化服务”为抓手，激发市场主体活力。</w:t>
      </w:r>
      <w:r>
        <w:rPr>
          <w:rFonts w:hint="default" w:ascii="Times New Roman" w:hAnsi="Times New Roman" w:eastAsia="仿宋_GB2312" w:cs="Times New Roman"/>
          <w:b/>
          <w:color w:val="auto"/>
          <w:sz w:val="32"/>
          <w:szCs w:val="32"/>
          <w:highlight w:val="none"/>
        </w:rPr>
        <w:t>培育市场主体。</w:t>
      </w:r>
      <w:r>
        <w:rPr>
          <w:rFonts w:hint="default" w:ascii="Times New Roman" w:hAnsi="Times New Roman" w:eastAsia="仿宋_GB2312" w:cs="Times New Roman"/>
          <w:color w:val="auto"/>
          <w:sz w:val="32"/>
          <w:szCs w:val="32"/>
          <w:highlight w:val="none"/>
        </w:rPr>
        <w:t>龙头企业带动，以“小升规”加大“四上”企业培育力度，新增“四上”企业60家。完善企业梯度培育库，新增公共服务平台7家、生产性服务机构3家。</w:t>
      </w:r>
      <w:r>
        <w:rPr>
          <w:rFonts w:hint="default" w:ascii="Times New Roman" w:hAnsi="Times New Roman" w:eastAsia="仿宋_GB2312" w:cs="Times New Roman"/>
          <w:bCs/>
          <w:color w:val="auto"/>
          <w:sz w:val="32"/>
          <w:szCs w:val="32"/>
          <w:highlight w:val="none"/>
        </w:rPr>
        <w:t>奋力加快“金芙蓉”跃升行动步伐，加速孵化优质企业上市。</w:t>
      </w:r>
      <w:r>
        <w:rPr>
          <w:rFonts w:hint="default" w:ascii="Times New Roman" w:hAnsi="Times New Roman" w:eastAsia="仿宋_GB2312" w:cs="Times New Roman"/>
          <w:color w:val="auto"/>
          <w:sz w:val="32"/>
          <w:szCs w:val="32"/>
          <w:highlight w:val="none"/>
        </w:rPr>
        <w:t>加快推进新一代信息技术与制造业深度融合，支持数字赋能在工业领域的应用。</w:t>
      </w:r>
      <w:r>
        <w:rPr>
          <w:rFonts w:hint="default" w:ascii="Times New Roman" w:hAnsi="Times New Roman" w:eastAsia="仿宋_GB2312" w:cs="Times New Roman"/>
          <w:b/>
          <w:color w:val="auto"/>
          <w:sz w:val="32"/>
          <w:szCs w:val="32"/>
          <w:highlight w:val="none"/>
        </w:rPr>
        <w:t>提升金融服务。</w:t>
      </w:r>
      <w:r>
        <w:rPr>
          <w:rFonts w:hint="default" w:ascii="Times New Roman" w:hAnsi="Times New Roman" w:eastAsia="仿宋_GB2312" w:cs="Times New Roman"/>
          <w:color w:val="auto"/>
          <w:sz w:val="32"/>
          <w:szCs w:val="32"/>
          <w:highlight w:val="none"/>
        </w:rPr>
        <w:t>深化政银企合作，提升相应中长期贷款及信用贷款占比和首贷占比。切实提高金融服务实体经济的质量和效率。强化属地金融监管，引导辖内融租、商业保理公司等7+4类公司规范运营，促进行业服务实体经济、健康发展。</w:t>
      </w:r>
      <w:r>
        <w:rPr>
          <w:rFonts w:hint="default" w:ascii="Times New Roman" w:hAnsi="Times New Roman" w:eastAsia="仿宋_GB2312" w:cs="Times New Roman"/>
          <w:b/>
          <w:color w:val="auto"/>
          <w:sz w:val="32"/>
          <w:szCs w:val="32"/>
          <w:highlight w:val="none"/>
        </w:rPr>
        <w:t>做实政务服务。</w:t>
      </w:r>
      <w:r>
        <w:rPr>
          <w:rFonts w:hint="default" w:ascii="Times New Roman" w:hAnsi="Times New Roman" w:eastAsia="仿宋_GB2312" w:cs="Times New Roman"/>
          <w:color w:val="auto"/>
          <w:sz w:val="32"/>
          <w:szCs w:val="32"/>
          <w:highlight w:val="none"/>
        </w:rPr>
        <w:t>持续推动“六即”服务改革走深走实，优化抓实“一把手走流程”、“亲荷驿站”、“吹哨报道”、“湘易办”等抓手，推动“一件事一次办”落地，实现主题式、套餐式场景应用“一网通办”；加快政务数据的归集共享，持续提升服务水平优化发展环境。</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四是以“一区建设”为引领，筑牢民生改善根基。</w:t>
      </w:r>
      <w:r>
        <w:rPr>
          <w:rFonts w:hint="default" w:ascii="Times New Roman" w:hAnsi="Times New Roman" w:eastAsia="仿宋_GB2312" w:cs="Times New Roman"/>
          <w:b/>
          <w:color w:val="auto"/>
          <w:kern w:val="21"/>
          <w:sz w:val="32"/>
          <w:szCs w:val="32"/>
          <w:highlight w:val="none"/>
        </w:rPr>
        <w:t>提高现代治理能力。</w:t>
      </w:r>
      <w:r>
        <w:rPr>
          <w:rFonts w:hint="default" w:ascii="Times New Roman" w:hAnsi="Times New Roman" w:eastAsia="仿宋_GB2312" w:cs="Times New Roman"/>
          <w:color w:val="auto"/>
          <w:sz w:val="32"/>
          <w:szCs w:val="32"/>
          <w:highlight w:val="none"/>
        </w:rPr>
        <w:t>进一步夯实“1+6”基层治理组织体系，推进“五堂”建设，开展“幸福邻里节”系列活动，探索举办“小区春晚”，推行小区“四方议事会”；深化“邻里共治”“平急融合”机制，大力开展治理提质攻坚行动，提升“红色物业”协同治理水平；做实“三长制”，全力做好“十大家务”；建设新就业群体党群服务中心（站）。完善区级、镇（街道）、村（社区）社工站三级体系架构，健全居民自治体系。大力推进</w:t>
      </w:r>
      <w:r>
        <w:rPr>
          <w:rFonts w:hint="default" w:ascii="Times New Roman" w:hAnsi="Times New Roman" w:eastAsia="仿宋_GB2312" w:cs="Times New Roman"/>
          <w:color w:val="auto"/>
          <w:kern w:val="0"/>
          <w:sz w:val="32"/>
          <w:szCs w:val="32"/>
          <w:highlight w:val="none"/>
        </w:rPr>
        <w:t>“八个一批”工作，部门、行业领域形成合力。启动国家智慧社区创新试验区创建，</w:t>
      </w:r>
      <w:r>
        <w:rPr>
          <w:rFonts w:hint="default" w:ascii="Times New Roman" w:hAnsi="Times New Roman" w:eastAsia="仿宋_GB2312" w:cs="Times New Roman"/>
          <w:color w:val="auto"/>
          <w:sz w:val="32"/>
          <w:szCs w:val="32"/>
          <w:highlight w:val="none"/>
        </w:rPr>
        <w:t>全面提升智慧化、智能化基层治理水平</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广泛链接社会资源，积极探索社区基金、社区合伙人等治理模式。</w:t>
      </w:r>
      <w:r>
        <w:rPr>
          <w:rFonts w:hint="default" w:ascii="Times New Roman" w:hAnsi="Times New Roman" w:eastAsia="仿宋_GB2312" w:cs="Times New Roman"/>
          <w:b/>
          <w:color w:val="auto"/>
          <w:sz w:val="32"/>
          <w:szCs w:val="32"/>
          <w:highlight w:val="none"/>
        </w:rPr>
        <w:t>增强民生保障能力。</w:t>
      </w:r>
      <w:r>
        <w:rPr>
          <w:rFonts w:hint="default" w:ascii="Times New Roman" w:hAnsi="Times New Roman" w:eastAsia="仿宋_GB2312" w:cs="Times New Roman"/>
          <w:color w:val="auto"/>
          <w:sz w:val="32"/>
          <w:szCs w:val="32"/>
          <w:highlight w:val="none"/>
        </w:rPr>
        <w:t>落实就业优先战略。抓好高校毕业生、退役军人等重点群体就业，加强困难群体就业兜底帮扶；持续推进灵活就业模式，完善就业支持体系，构建家门口就业服务平台，实现“社区里”、“马路边”、“小区中”、“楼栋间”、“朋友圈”全方位灵活就业服务；积极推进零工市场建设，增设新就业形态服务驿站。完善社会保障体系，巩固全民参保成果，确保城乡居民医保参保率稳定在95%以上、特困低保等特殊困难群众100%参保。构建分层分类的养老服务体系，大力实施居家适老化改造，进一步提升“友邻帮”农村互助养老的服务质量，建设农村日间照料中心点。</w:t>
      </w:r>
      <w:r>
        <w:rPr>
          <w:rFonts w:hint="default" w:ascii="Times New Roman" w:hAnsi="Times New Roman" w:eastAsia="仿宋_GB2312" w:cs="Times New Roman"/>
          <w:b/>
          <w:color w:val="auto"/>
          <w:sz w:val="32"/>
          <w:szCs w:val="32"/>
          <w:highlight w:val="none"/>
        </w:rPr>
        <w:t>推动社会事业全面进步</w:t>
      </w:r>
      <w:r>
        <w:rPr>
          <w:rFonts w:hint="default" w:ascii="Times New Roman" w:hAnsi="Times New Roman" w:eastAsia="仿宋_GB2312" w:cs="Times New Roman"/>
          <w:color w:val="auto"/>
          <w:sz w:val="32"/>
          <w:szCs w:val="32"/>
          <w:highlight w:val="none"/>
        </w:rPr>
        <w:t>。完善医疗服务健康，继续深入推进医联体建设，建荷塘区区域性医学检验中心；持续运行“慢病管理一站式服务门诊”。办好人民满意的教育，实现景炎初级中学整体搬迁，完成第五中学、金山小学等一批学校提质改造，持续开展公办学校的“护眼”行动，实现护眼灯全覆盖。</w:t>
      </w:r>
      <w:r>
        <w:rPr>
          <w:rFonts w:hint="default" w:ascii="Times New Roman" w:hAnsi="Times New Roman" w:eastAsia="仿宋_GB2312" w:cs="Times New Roman"/>
          <w:color w:val="auto"/>
          <w:sz w:val="32"/>
          <w:szCs w:val="32"/>
          <w:highlight w:val="none"/>
          <w:lang w:eastAsia="zh-CN"/>
        </w:rPr>
        <w:t>大力发展文化体育事业，</w:t>
      </w:r>
      <w:r>
        <w:rPr>
          <w:rFonts w:hint="default" w:ascii="Times New Roman" w:hAnsi="Times New Roman" w:eastAsia="仿宋_GB2312" w:cs="Times New Roman"/>
          <w:color w:val="auto"/>
          <w:sz w:val="32"/>
          <w:szCs w:val="32"/>
          <w:highlight w:val="none"/>
        </w:rPr>
        <w:t>完成钻石空间体育公园建设，提升全民健身服务条件。举办群众文化嘉年华、街头足球争霸赛等群众文体活动。</w:t>
      </w:r>
    </w:p>
    <w:p>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五是以“统筹发展”为焦点，推动城乡建设进程。</w:t>
      </w:r>
      <w:r>
        <w:rPr>
          <w:rFonts w:hint="default" w:ascii="Times New Roman" w:hAnsi="Times New Roman" w:eastAsia="仿宋_GB2312" w:cs="Times New Roman"/>
          <w:b/>
          <w:color w:val="auto"/>
          <w:sz w:val="32"/>
          <w:szCs w:val="32"/>
          <w:highlight w:val="none"/>
        </w:rPr>
        <w:t>优化城乡发展空间。</w:t>
      </w:r>
      <w:r>
        <w:rPr>
          <w:rFonts w:hint="default" w:ascii="Times New Roman" w:hAnsi="Times New Roman" w:eastAsia="仿宋_GB2312" w:cs="Times New Roman"/>
          <w:color w:val="auto"/>
          <w:sz w:val="32"/>
          <w:szCs w:val="32"/>
          <w:highlight w:val="none"/>
        </w:rPr>
        <w:t>加强规划引领，不断优化存量建设用地配置，挖掘存量建设用地潜力。加快城市更新步伐。加快老旧小区改造，计划实施老旧小区改造21个小区，共计1997户。加快新文化路（经一路-田园路）、升龙路（迎风路-北环大道）等道路建设。完成仙庾旅游环线、茶马廊道提质等基础设施建设，新建、改造10条农村通组道路。深入推进海绵城市建设，全面推进建宁港雨污分流等工程。推进和美乡村建设。</w:t>
      </w:r>
      <w:r>
        <w:rPr>
          <w:rFonts w:hint="default" w:ascii="Times New Roman" w:hAnsi="Times New Roman" w:eastAsia="仿宋_GB2312" w:cs="Times New Roman"/>
          <w:color w:val="auto"/>
          <w:sz w:val="32"/>
          <w:szCs w:val="32"/>
          <w:highlight w:val="none"/>
          <w:lang w:val="en-US" w:eastAsia="zh-CN"/>
        </w:rPr>
        <w:t>水利项目续建3个，开工2个</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推动城乡经济发展。</w:t>
      </w:r>
      <w:r>
        <w:rPr>
          <w:rFonts w:hint="default" w:ascii="Times New Roman" w:hAnsi="Times New Roman" w:eastAsia="仿宋_GB2312" w:cs="Times New Roman"/>
          <w:color w:val="auto"/>
          <w:sz w:val="32"/>
          <w:szCs w:val="32"/>
          <w:highlight w:val="none"/>
        </w:rPr>
        <w:t>聚焦乡村产业振兴发展，聚力“三农”提速，大力发展特色产业，持续推进蝶屏山谷、且曼、桃花坞、明园古村落等文旅项目建设，进一步丰富乡村旅游业态，助力乡村全面振兴。</w:t>
      </w:r>
      <w:r>
        <w:rPr>
          <w:rFonts w:hint="default" w:ascii="Times New Roman" w:hAnsi="Times New Roman" w:eastAsia="仿宋_GB2312" w:cs="Times New Roman"/>
          <w:color w:val="auto"/>
          <w:sz w:val="32"/>
          <w:szCs w:val="32"/>
          <w:highlight w:val="none"/>
          <w:lang w:val="en-US" w:eastAsia="zh-CN"/>
        </w:rPr>
        <w:t>推进农村宅基地管理改革，逐步探索闲置农房流转</w:t>
      </w:r>
      <w:r>
        <w:rPr>
          <w:rFonts w:hint="default" w:ascii="Times New Roman" w:hAnsi="Times New Roman" w:eastAsia="仿宋_GB2312" w:cs="Times New Roman"/>
          <w:color w:val="auto"/>
          <w:sz w:val="32"/>
          <w:szCs w:val="32"/>
          <w:highlight w:val="none"/>
        </w:rPr>
        <w:t>，带动农民增收致富。优化发展红旗商圈、向阳商圈及世贸商业街、文化路夜市街、新塘路夜市街等。充分利用汽齿和电焊条厂等厂矿资源，打造成集聚“株洲工业记忆”的新经济业态群。</w:t>
      </w:r>
      <w:r>
        <w:rPr>
          <w:rFonts w:hint="default" w:ascii="Times New Roman" w:hAnsi="Times New Roman" w:eastAsia="仿宋_GB2312" w:cs="Times New Roman"/>
          <w:b/>
          <w:color w:val="auto"/>
          <w:sz w:val="32"/>
          <w:szCs w:val="32"/>
          <w:highlight w:val="none"/>
        </w:rPr>
        <w:t>提升城乡美好形象。</w:t>
      </w:r>
      <w:r>
        <w:rPr>
          <w:rFonts w:hint="default" w:ascii="Times New Roman" w:hAnsi="Times New Roman" w:eastAsia="仿宋_GB2312" w:cs="Times New Roman"/>
          <w:color w:val="auto"/>
          <w:sz w:val="32"/>
          <w:szCs w:val="32"/>
          <w:highlight w:val="none"/>
        </w:rPr>
        <w:t>推进“厕所革命”普及卫生户厕，公共场所的公厕设施达到二类标准。基本建成垃圾生活垃圾分类处理系统。严格落实“门前三包”制度，杜绝“十乱”现象，强化绿地管理，不断提高城区绿化覆盖率和公园绿地面积。完善基础设施建设，使城市生活垃圾回收利用率≥35%，生活垃圾无害化处理率达到100%，生活污水集中收集率≥75%。重点抓好农村人居环境整治提升，继续抓好农村户厕问题排查整改，</w:t>
      </w:r>
      <w:r>
        <w:rPr>
          <w:rFonts w:hint="default" w:ascii="Times New Roman" w:hAnsi="Times New Roman" w:eastAsia="仿宋_GB2312" w:cs="Times New Roman"/>
          <w:bCs/>
          <w:color w:val="auto"/>
          <w:sz w:val="32"/>
          <w:szCs w:val="32"/>
          <w:highlight w:val="none"/>
        </w:rPr>
        <w:t>巩固全域化国家卫生城市创建成果。</w:t>
      </w:r>
    </w:p>
    <w:p>
      <w:pPr>
        <w:pStyle w:val="8"/>
        <w:widowControl w:val="0"/>
        <w:shd w:val="clear" w:color="auto" w:fill="FFFFFF"/>
        <w:overflowPunct w:val="0"/>
        <w:spacing w:before="0" w:beforeAutospacing="0" w:after="0" w:afterAutospacing="0"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楷体_GB2312" w:cs="Times New Roman"/>
          <w:color w:val="auto"/>
          <w:sz w:val="32"/>
          <w:szCs w:val="32"/>
          <w:highlight w:val="none"/>
          <w:shd w:val="clear" w:color="auto" w:fill="FFFFFF"/>
        </w:rPr>
        <w:t>六是以“人民至上”为中心，兜牢生命安全底线。</w:t>
      </w:r>
      <w:r>
        <w:rPr>
          <w:rFonts w:hint="default" w:ascii="Times New Roman" w:hAnsi="Times New Roman" w:eastAsia="仿宋_GB2312" w:cs="Times New Roman"/>
          <w:b/>
          <w:color w:val="auto"/>
          <w:kern w:val="21"/>
          <w:sz w:val="32"/>
          <w:szCs w:val="32"/>
          <w:highlight w:val="none"/>
        </w:rPr>
        <w:t>加大生态环境保护力度。</w:t>
      </w:r>
      <w:r>
        <w:rPr>
          <w:rFonts w:hint="default" w:ascii="Times New Roman" w:hAnsi="Times New Roman" w:eastAsia="仿宋_GB2312" w:cs="Times New Roman"/>
          <w:color w:val="auto"/>
          <w:sz w:val="32"/>
          <w:szCs w:val="32"/>
          <w:highlight w:val="none"/>
        </w:rPr>
        <w:t>全面贯彻新发展理念，积极稳妥推进碳达峰碳中和，制定《株洲市荷塘区碳达峰实施方案》。持续深入打好蓝天、碧水、净土保卫战。力争空气质量优良率较上年提升，加强工业粉尘废气治理，确保环境空气主要污染物达到国家二级标准；持续深化治水成果，落实“河湖长制”提档升级，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座水库整体水质保持</w:t>
      </w:r>
      <w:r>
        <w:rPr>
          <w:rFonts w:hint="default" w:ascii="Times New Roman" w:hAnsi="Times New Roman" w:cs="Times New Roman"/>
          <w:color w:val="auto"/>
          <w:sz w:val="32"/>
          <w:szCs w:val="32"/>
          <w:highlight w:val="none"/>
        </w:rPr>
        <w:t>Ⅱ</w:t>
      </w:r>
      <w:r>
        <w:rPr>
          <w:rFonts w:hint="default" w:ascii="Times New Roman" w:hAnsi="Times New Roman" w:eastAsia="仿宋_GB2312" w:cs="Times New Roman"/>
          <w:color w:val="auto"/>
          <w:sz w:val="32"/>
          <w:szCs w:val="32"/>
          <w:highlight w:val="none"/>
        </w:rPr>
        <w:t>类以上；切实加强土壤、地下水污染源头防控，深入推进重金属治理减排，完成黄塘村重金属污染农田“富集植物+功能性微生物”修复技术中试项目。</w:t>
      </w:r>
      <w:r>
        <w:rPr>
          <w:rFonts w:hint="default" w:ascii="Times New Roman" w:hAnsi="Times New Roman" w:eastAsia="仿宋_GB2312" w:cs="Times New Roman"/>
          <w:b/>
          <w:color w:val="auto"/>
          <w:kern w:val="21"/>
          <w:sz w:val="32"/>
          <w:szCs w:val="32"/>
          <w:highlight w:val="none"/>
        </w:rPr>
        <w:t>防范重大领域风险。</w:t>
      </w:r>
      <w:r>
        <w:rPr>
          <w:rFonts w:hint="default" w:ascii="Times New Roman" w:hAnsi="Times New Roman" w:eastAsia="仿宋_GB2312" w:cs="Times New Roman"/>
          <w:color w:val="auto"/>
          <w:sz w:val="32"/>
          <w:szCs w:val="32"/>
          <w:highlight w:val="none"/>
        </w:rPr>
        <w:t>统筹好发展和安全，处理好“油门与刹车”的问题，牢牢守住安全生产这个底线，进一步强化自建房、燃气、交通安全、重点企业等安全生产隐患排查治理，坚决防范较大级以上事故的发生；扎实做好防汛抗旱、森林防火、防汛抗旱等工作，切实增强防灾减灾能力，不断增强人民群众安全感。防范化解金融风险，严控地方政府债务风险，促进房地产市场平稳健康发展，扎实做好保交楼、保民生、保稳定各项工作。持续巩固壮大主流舆论强势，牢牢掌握意识形态工作的领导权、管理权、话语权。</w:t>
      </w:r>
      <w:r>
        <w:rPr>
          <w:rFonts w:hint="default" w:ascii="Times New Roman" w:hAnsi="Times New Roman" w:eastAsia="仿宋_GB2312" w:cs="Times New Roman"/>
          <w:b/>
          <w:color w:val="auto"/>
          <w:kern w:val="21"/>
          <w:sz w:val="32"/>
          <w:szCs w:val="32"/>
          <w:highlight w:val="none"/>
        </w:rPr>
        <w:t>维护社会大局稳定。</w:t>
      </w:r>
      <w:r>
        <w:rPr>
          <w:rFonts w:hint="default" w:ascii="Times New Roman" w:hAnsi="Times New Roman" w:eastAsia="仿宋_GB2312" w:cs="Times New Roman"/>
          <w:color w:val="auto"/>
          <w:sz w:val="32"/>
          <w:szCs w:val="32"/>
          <w:highlight w:val="none"/>
        </w:rPr>
        <w:t>充</w:t>
      </w:r>
      <w:r>
        <w:rPr>
          <w:rFonts w:hint="default" w:ascii="Times New Roman" w:hAnsi="Times New Roman" w:eastAsia="仿宋_GB2312" w:cs="Times New Roman"/>
          <w:color w:val="auto"/>
          <w:kern w:val="2"/>
          <w:sz w:val="32"/>
          <w:szCs w:val="32"/>
          <w:highlight w:val="none"/>
        </w:rPr>
        <w:t>分运用社会治理风险防控“N合一”机制和“五包一”工作机制，建立“周一予调日”机制</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全力抓好信访维稳工作。完善“一站受理、多元联调”的大调解工作机制，推动小区党支部矛调室、个人调解室及行业性专业调委会建设。推进诉源治理工作站规范化建设和综治中心实战化运行。抓好社会治理、反电诈、扫黑、反邪、禁毒、防养老诈骗等工作，建设平安荷塘。</w:t>
      </w:r>
    </w:p>
    <w:p>
      <w:pPr>
        <w:pStyle w:val="8"/>
        <w:widowControl w:val="0"/>
        <w:shd w:val="clear" w:color="auto" w:fill="FFFFFF"/>
        <w:overflowPunct w:val="0"/>
        <w:spacing w:before="0" w:beforeAutospacing="0" w:after="0" w:afterAutospacing="0"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做好2024年经济社会发展工作任务繁重、责任重大。我们要更加紧密地团结在以习近平同志为核心的党中央周围，坚持以习近平新时代中国特色社会主义思想为指导，全面贯彻落实党的二十大精神，按照党中央、省、市决策部署，在</w:t>
      </w:r>
      <w:r>
        <w:rPr>
          <w:rFonts w:hint="default"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委、</w:t>
      </w:r>
      <w:r>
        <w:rPr>
          <w:rFonts w:hint="default"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政府的坚强领导下，在</w:t>
      </w:r>
      <w:r>
        <w:rPr>
          <w:rFonts w:hint="default"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人大、</w:t>
      </w:r>
      <w:r>
        <w:rPr>
          <w:rFonts w:hint="default"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政协的监督支持下，埋头苦干、奋勇前进，结合实际创造性地开展工作，努力完成全年目标任务，加快“一区两城”建设，为全面建设社会主义现代化新荷塘作出更大贡献！</w:t>
      </w:r>
    </w:p>
    <w:p>
      <w:pPr>
        <w:pStyle w:val="8"/>
        <w:widowControl w:val="0"/>
        <w:shd w:val="clear" w:color="auto" w:fill="FFFFFF"/>
        <w:overflowPunct w:val="0"/>
        <w:spacing w:before="0" w:beforeAutospacing="0" w:after="0" w:afterAutospacing="0" w:line="600" w:lineRule="exact"/>
        <w:ind w:firstLine="640" w:firstLineChars="200"/>
        <w:jc w:val="both"/>
        <w:rPr>
          <w:rFonts w:hint="default" w:ascii="Times New Roman" w:hAnsi="Times New Roman" w:eastAsia="仿宋_GB2312" w:cs="Times New Roman"/>
          <w:color w:val="auto"/>
          <w:kern w:val="2"/>
          <w:sz w:val="32"/>
          <w:szCs w:val="32"/>
          <w:highlight w:val="none"/>
        </w:rPr>
      </w:pPr>
    </w:p>
    <w:p>
      <w:pPr>
        <w:overflowPunct w:val="0"/>
        <w:adjustRightInd w:val="0"/>
        <w:snapToGrid w:val="0"/>
        <w:spacing w:line="600" w:lineRule="exac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附件：荷塘区主要指标情况表</w:t>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r>
        <w:rPr>
          <w:rFonts w:hint="default" w:ascii="Times New Roman" w:hAnsi="Times New Roman" w:eastAsia="黑体" w:cs="Times New Roman"/>
          <w:color w:val="auto"/>
          <w:sz w:val="32"/>
          <w:szCs w:val="32"/>
          <w:highlight w:val="none"/>
        </w:rPr>
        <w:t>附件：</w:t>
      </w:r>
    </w:p>
    <w:p>
      <w:pPr>
        <w:overflowPunct w:val="0"/>
        <w:spacing w:line="600" w:lineRule="exact"/>
        <w:rPr>
          <w:rFonts w:hint="default" w:ascii="Times New Roman" w:hAnsi="Times New Roman" w:cs="Times New Roman"/>
          <w:color w:val="auto"/>
          <w:highlight w:val="none"/>
        </w:rPr>
      </w:pPr>
    </w:p>
    <w:p>
      <w:pPr>
        <w:overflowPunct w:val="0"/>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荷塘区主要指标情况表</w:t>
      </w:r>
    </w:p>
    <w:p>
      <w:pPr>
        <w:pStyle w:val="6"/>
        <w:overflowPunct w:val="0"/>
        <w:spacing w:line="600" w:lineRule="exact"/>
        <w:rPr>
          <w:rFonts w:hint="default" w:ascii="Times New Roman" w:hAnsi="Times New Roman" w:cs="Times New Roman"/>
          <w:color w:val="auto"/>
          <w:highlight w:val="none"/>
        </w:rPr>
      </w:pPr>
    </w:p>
    <w:tbl>
      <w:tblPr>
        <w:tblStyle w:val="11"/>
        <w:tblW w:w="8808" w:type="dxa"/>
        <w:jc w:val="center"/>
        <w:tblLayout w:type="fixed"/>
        <w:tblCellMar>
          <w:top w:w="0" w:type="dxa"/>
          <w:left w:w="57" w:type="dxa"/>
          <w:bottom w:w="0" w:type="dxa"/>
          <w:right w:w="57" w:type="dxa"/>
        </w:tblCellMar>
      </w:tblPr>
      <w:tblGrid>
        <w:gridCol w:w="3540"/>
        <w:gridCol w:w="1666"/>
        <w:gridCol w:w="1900"/>
        <w:gridCol w:w="1702"/>
      </w:tblGrid>
      <w:tr>
        <w:tblPrEx>
          <w:tblCellMar>
            <w:top w:w="0" w:type="dxa"/>
            <w:left w:w="57" w:type="dxa"/>
            <w:bottom w:w="0" w:type="dxa"/>
            <w:right w:w="57" w:type="dxa"/>
          </w:tblCellMar>
        </w:tblPrEx>
        <w:trPr>
          <w:trHeight w:val="861" w:hRule="atLeast"/>
          <w:jc w:val="center"/>
        </w:trPr>
        <w:tc>
          <w:tcPr>
            <w:tcW w:w="3540"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主要指标</w:t>
            </w:r>
          </w:p>
        </w:tc>
        <w:tc>
          <w:tcPr>
            <w:tcW w:w="1666" w:type="dxa"/>
            <w:tcBorders>
              <w:top w:val="single" w:color="auto" w:sz="4" w:space="0"/>
              <w:left w:val="nil"/>
              <w:bottom w:val="single" w:color="auto" w:sz="4" w:space="0"/>
              <w:right w:val="single" w:color="auto" w:sz="4" w:space="0"/>
            </w:tcBorders>
            <w:vAlign w:val="center"/>
          </w:tcPr>
          <w:p>
            <w:pPr>
              <w:overflowPunct w:val="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2023年</w:t>
            </w:r>
          </w:p>
          <w:p>
            <w:pPr>
              <w:overflowPunct w:val="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计划目标（%）</w:t>
            </w:r>
          </w:p>
        </w:tc>
        <w:tc>
          <w:tcPr>
            <w:tcW w:w="1900" w:type="dxa"/>
            <w:tcBorders>
              <w:top w:val="single" w:color="auto" w:sz="4" w:space="0"/>
              <w:left w:val="nil"/>
              <w:bottom w:val="single" w:color="auto" w:sz="4" w:space="0"/>
              <w:right w:val="single" w:color="auto" w:sz="4" w:space="0"/>
            </w:tcBorders>
            <w:vAlign w:val="center"/>
          </w:tcPr>
          <w:p>
            <w:pPr>
              <w:overflowPunct w:val="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2023年</w:t>
            </w:r>
          </w:p>
          <w:p>
            <w:pPr>
              <w:overflowPunct w:val="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完成数（%）</w:t>
            </w:r>
          </w:p>
        </w:tc>
        <w:tc>
          <w:tcPr>
            <w:tcW w:w="1702" w:type="dxa"/>
            <w:tcBorders>
              <w:top w:val="single" w:color="auto" w:sz="4" w:space="0"/>
              <w:left w:val="nil"/>
              <w:bottom w:val="single" w:color="auto" w:sz="4" w:space="0"/>
              <w:right w:val="single" w:color="auto" w:sz="4" w:space="0"/>
            </w:tcBorders>
            <w:vAlign w:val="center"/>
          </w:tcPr>
          <w:p>
            <w:pPr>
              <w:overflowPunct w:val="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2024年度</w:t>
            </w:r>
          </w:p>
          <w:p>
            <w:pPr>
              <w:pStyle w:val="6"/>
              <w:overflowPunct w:val="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sz w:val="24"/>
                <w:szCs w:val="24"/>
                <w:highlight w:val="none"/>
              </w:rPr>
              <w:t>计划目标（%）</w:t>
            </w:r>
          </w:p>
        </w:tc>
      </w:tr>
      <w:tr>
        <w:tblPrEx>
          <w:tblCellMar>
            <w:top w:w="0" w:type="dxa"/>
            <w:left w:w="57" w:type="dxa"/>
            <w:bottom w:w="0" w:type="dxa"/>
            <w:right w:w="57" w:type="dxa"/>
          </w:tblCellMar>
        </w:tblPrEx>
        <w:trPr>
          <w:trHeight w:val="657" w:hRule="exact"/>
          <w:jc w:val="center"/>
        </w:trPr>
        <w:tc>
          <w:tcPr>
            <w:tcW w:w="3540" w:type="dxa"/>
            <w:tcBorders>
              <w:top w:val="single" w:color="auto" w:sz="4" w:space="0"/>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1.地区生产总值增速</w:t>
            </w:r>
          </w:p>
        </w:tc>
        <w:tc>
          <w:tcPr>
            <w:tcW w:w="1666" w:type="dxa"/>
            <w:tcBorders>
              <w:top w:val="single" w:color="auto" w:sz="4" w:space="0"/>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8</w:t>
            </w:r>
          </w:p>
        </w:tc>
        <w:tc>
          <w:tcPr>
            <w:tcW w:w="1900"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3.7</w:t>
            </w:r>
          </w:p>
        </w:tc>
        <w:tc>
          <w:tcPr>
            <w:tcW w:w="1702"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7</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一产业</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3.4</w:t>
            </w:r>
          </w:p>
        </w:tc>
        <w:tc>
          <w:tcPr>
            <w:tcW w:w="1702"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二产业</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1.5</w:t>
            </w:r>
          </w:p>
        </w:tc>
        <w:tc>
          <w:tcPr>
            <w:tcW w:w="1702"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其中：规模工业增加值</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9</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3.6</w:t>
            </w:r>
          </w:p>
        </w:tc>
        <w:tc>
          <w:tcPr>
            <w:tcW w:w="1702"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8</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三产业</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2"/>
                <w:sz w:val="24"/>
                <w:szCs w:val="24"/>
                <w:highlight w:val="none"/>
                <w:lang w:val="en-US" w:eastAsia="zh-CN" w:bidi="ar-SA"/>
              </w:rPr>
              <w:t>6.2</w:t>
            </w:r>
          </w:p>
        </w:tc>
        <w:tc>
          <w:tcPr>
            <w:tcW w:w="1702"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w:t>
            </w:r>
          </w:p>
        </w:tc>
      </w:tr>
      <w:tr>
        <w:tblPrEx>
          <w:tblCellMar>
            <w:top w:w="0" w:type="dxa"/>
            <w:left w:w="57" w:type="dxa"/>
            <w:bottom w:w="0" w:type="dxa"/>
            <w:right w:w="57" w:type="dxa"/>
          </w:tblCellMar>
        </w:tblPrEx>
        <w:trPr>
          <w:trHeight w:val="602"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2.固定资产投资增速</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9</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-17.5</w:t>
            </w:r>
          </w:p>
        </w:tc>
        <w:tc>
          <w:tcPr>
            <w:tcW w:w="170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5.5</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3.社会消费品零售总额增速</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8</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6.4</w:t>
            </w:r>
          </w:p>
        </w:tc>
        <w:tc>
          <w:tcPr>
            <w:tcW w:w="170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7.5</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4.进出口总额增速</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20</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2"/>
                <w:sz w:val="24"/>
                <w:szCs w:val="24"/>
                <w:highlight w:val="none"/>
                <w:lang w:val="en-US" w:eastAsia="zh-CN" w:bidi="ar-SA"/>
              </w:rPr>
              <w:t>-20</w:t>
            </w:r>
          </w:p>
        </w:tc>
        <w:tc>
          <w:tcPr>
            <w:tcW w:w="170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&gt;10</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5.地方一般公共预算收入增速</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8</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-0.91</w:t>
            </w:r>
          </w:p>
        </w:tc>
        <w:tc>
          <w:tcPr>
            <w:tcW w:w="170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2"/>
                <w:sz w:val="24"/>
                <w:szCs w:val="24"/>
                <w:highlight w:val="none"/>
                <w:lang w:val="en-US" w:eastAsia="zh-CN" w:bidi="ar-SA"/>
              </w:rPr>
              <w:t>8</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6.城乡居民人均可支配收入增速</w:t>
            </w:r>
          </w:p>
        </w:tc>
        <w:tc>
          <w:tcPr>
            <w:tcW w:w="1666" w:type="dxa"/>
            <w:tcBorders>
              <w:top w:val="nil"/>
              <w:left w:val="nil"/>
              <w:bottom w:val="single" w:color="auto" w:sz="4" w:space="0"/>
              <w:right w:val="single" w:color="auto" w:sz="4" w:space="0"/>
            </w:tcBorders>
            <w:vAlign w:val="top"/>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高于经济增长</w:t>
            </w:r>
          </w:p>
        </w:tc>
        <w:tc>
          <w:tcPr>
            <w:tcW w:w="19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lang w:val="en-US"/>
              </w:rPr>
            </w:pPr>
            <w:r>
              <w:rPr>
                <w:rFonts w:hint="eastAsia" w:eastAsia="仿宋_GB2312" w:cs="Times New Roman"/>
                <w:color w:val="auto"/>
                <w:kern w:val="2"/>
                <w:sz w:val="24"/>
                <w:szCs w:val="24"/>
                <w:highlight w:val="none"/>
                <w:lang w:val="en-US" w:eastAsia="zh-CN" w:bidi="ar-SA"/>
              </w:rPr>
              <w:t>4.1</w:t>
            </w:r>
          </w:p>
        </w:tc>
        <w:tc>
          <w:tcPr>
            <w:tcW w:w="170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高于经济增长</w:t>
            </w:r>
          </w:p>
        </w:tc>
      </w:tr>
      <w:tr>
        <w:tblPrEx>
          <w:tblCellMar>
            <w:top w:w="0" w:type="dxa"/>
            <w:left w:w="57" w:type="dxa"/>
            <w:bottom w:w="0" w:type="dxa"/>
            <w:right w:w="57" w:type="dxa"/>
          </w:tblCellMar>
        </w:tblPrEx>
        <w:trPr>
          <w:trHeight w:val="624" w:hRule="exact"/>
          <w:jc w:val="center"/>
        </w:trPr>
        <w:tc>
          <w:tcPr>
            <w:tcW w:w="3540" w:type="dxa"/>
            <w:tcBorders>
              <w:top w:val="nil"/>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7.城镇新增就业人数</w:t>
            </w:r>
          </w:p>
        </w:tc>
        <w:tc>
          <w:tcPr>
            <w:tcW w:w="1666"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Cs/>
                <w:color w:val="auto"/>
                <w:sz w:val="24"/>
                <w:highlight w:val="none"/>
              </w:rPr>
              <w:t>8800人</w:t>
            </w:r>
          </w:p>
        </w:tc>
        <w:tc>
          <w:tcPr>
            <w:tcW w:w="1900"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9312人</w:t>
            </w:r>
          </w:p>
        </w:tc>
        <w:tc>
          <w:tcPr>
            <w:tcW w:w="1702" w:type="dxa"/>
            <w:tcBorders>
              <w:top w:val="nil"/>
              <w:left w:val="nil"/>
              <w:bottom w:val="single" w:color="auto" w:sz="4" w:space="0"/>
              <w:right w:val="single" w:color="auto" w:sz="4" w:space="0"/>
            </w:tcBorders>
            <w:vAlign w:val="center"/>
          </w:tcPr>
          <w:p>
            <w:pPr>
              <w:overflowPunct w:val="0"/>
              <w:spacing w:line="56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9000人</w:t>
            </w:r>
          </w:p>
        </w:tc>
      </w:tr>
      <w:tr>
        <w:tblPrEx>
          <w:tblCellMar>
            <w:top w:w="0" w:type="dxa"/>
            <w:left w:w="57" w:type="dxa"/>
            <w:bottom w:w="0" w:type="dxa"/>
            <w:right w:w="57" w:type="dxa"/>
          </w:tblCellMar>
        </w:tblPrEx>
        <w:trPr>
          <w:trHeight w:val="849" w:hRule="exact"/>
          <w:jc w:val="center"/>
        </w:trPr>
        <w:tc>
          <w:tcPr>
            <w:tcW w:w="3540" w:type="dxa"/>
            <w:tcBorders>
              <w:top w:val="single" w:color="auto" w:sz="4" w:space="0"/>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8.粮食总产量</w:t>
            </w:r>
          </w:p>
        </w:tc>
        <w:tc>
          <w:tcPr>
            <w:tcW w:w="1666"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完成上级</w:t>
            </w:r>
          </w:p>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下达任务</w:t>
            </w:r>
          </w:p>
        </w:tc>
        <w:tc>
          <w:tcPr>
            <w:tcW w:w="1900"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1.67万吨</w:t>
            </w:r>
          </w:p>
        </w:tc>
        <w:tc>
          <w:tcPr>
            <w:tcW w:w="1702"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完成上级</w:t>
            </w:r>
          </w:p>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下达任务</w:t>
            </w:r>
          </w:p>
        </w:tc>
      </w:tr>
      <w:tr>
        <w:tblPrEx>
          <w:tblCellMar>
            <w:top w:w="0" w:type="dxa"/>
            <w:left w:w="57" w:type="dxa"/>
            <w:bottom w:w="0" w:type="dxa"/>
            <w:right w:w="57" w:type="dxa"/>
          </w:tblCellMar>
        </w:tblPrEx>
        <w:trPr>
          <w:trHeight w:val="592" w:hRule="exact"/>
          <w:jc w:val="center"/>
        </w:trPr>
        <w:tc>
          <w:tcPr>
            <w:tcW w:w="3540" w:type="dxa"/>
            <w:tcBorders>
              <w:top w:val="single" w:color="auto" w:sz="4" w:space="0"/>
              <w:left w:val="single" w:color="auto" w:sz="4" w:space="0"/>
              <w:bottom w:val="single" w:color="auto" w:sz="4" w:space="0"/>
              <w:right w:val="single" w:color="auto"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9.万元GDP能耗下降率</w:t>
            </w:r>
          </w:p>
        </w:tc>
        <w:tc>
          <w:tcPr>
            <w:tcW w:w="1666" w:type="dxa"/>
            <w:vMerge w:val="restar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完成上级</w:t>
            </w:r>
          </w:p>
          <w:p>
            <w:pPr>
              <w:overflowPunct w:val="0"/>
              <w:spacing w:line="5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4"/>
                <w:highlight w:val="none"/>
              </w:rPr>
              <w:t>下达任务</w:t>
            </w:r>
          </w:p>
        </w:tc>
        <w:tc>
          <w:tcPr>
            <w:tcW w:w="1900" w:type="dxa"/>
            <w:vMerge w:val="restar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完成</w:t>
            </w:r>
            <w:r>
              <w:rPr>
                <w:rFonts w:hint="eastAsia" w:ascii="Times New Roman" w:hAnsi="Times New Roman" w:eastAsia="仿宋_GB2312" w:cs="Times New Roman"/>
                <w:color w:val="auto"/>
                <w:kern w:val="0"/>
                <w:sz w:val="24"/>
                <w:highlight w:val="none"/>
                <w:lang w:val="en-US" w:eastAsia="zh-CN"/>
              </w:rPr>
              <w:t>了</w:t>
            </w:r>
            <w:r>
              <w:rPr>
                <w:rFonts w:hint="default" w:ascii="Times New Roman" w:hAnsi="Times New Roman" w:eastAsia="仿宋_GB2312" w:cs="Times New Roman"/>
                <w:color w:val="auto"/>
                <w:kern w:val="0"/>
                <w:sz w:val="24"/>
                <w:highlight w:val="none"/>
              </w:rPr>
              <w:t>上级</w:t>
            </w:r>
          </w:p>
          <w:p>
            <w:pPr>
              <w:overflowPunct w:val="0"/>
              <w:spacing w:line="5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4"/>
                <w:highlight w:val="none"/>
              </w:rPr>
              <w:t>下达任务</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完成上级</w:t>
            </w:r>
          </w:p>
          <w:p>
            <w:pPr>
              <w:overflowPunct w:val="0"/>
              <w:spacing w:line="5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 w:val="24"/>
                <w:highlight w:val="none"/>
              </w:rPr>
              <w:t>下达任务</w:t>
            </w:r>
          </w:p>
        </w:tc>
      </w:tr>
      <w:tr>
        <w:tblPrEx>
          <w:tblCellMar>
            <w:top w:w="0" w:type="dxa"/>
            <w:left w:w="57" w:type="dxa"/>
            <w:bottom w:w="0" w:type="dxa"/>
            <w:right w:w="57" w:type="dxa"/>
          </w:tblCellMar>
        </w:tblPrEx>
        <w:trPr>
          <w:trHeight w:val="544" w:hRule="exact"/>
          <w:jc w:val="center"/>
        </w:trPr>
        <w:tc>
          <w:tcPr>
            <w:tcW w:w="3540" w:type="dxa"/>
            <w:tcBorders>
              <w:top w:val="single" w:color="auto" w:sz="4" w:space="0"/>
              <w:left w:val="single" w:color="000000" w:sz="4" w:space="0"/>
              <w:bottom w:val="single" w:color="000000" w:sz="4" w:space="0"/>
              <w:right w:val="single" w:color="000000" w:sz="4" w:space="0"/>
            </w:tcBorders>
            <w:vAlign w:val="center"/>
          </w:tcPr>
          <w:p>
            <w:pPr>
              <w:overflowPunct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10.能源消费总量增量控制</w:t>
            </w:r>
          </w:p>
        </w:tc>
        <w:tc>
          <w:tcPr>
            <w:tcW w:w="1666" w:type="dxa"/>
            <w:vMerge w:val="continue"/>
            <w:tcBorders>
              <w:top w:val="single" w:color="auto" w:sz="4" w:space="0"/>
              <w:left w:val="nil"/>
              <w:bottom w:val="single" w:color="000000" w:sz="4" w:space="0"/>
              <w:right w:val="single" w:color="auto" w:sz="4" w:space="0"/>
            </w:tcBorders>
            <w:vAlign w:val="center"/>
          </w:tcPr>
          <w:p>
            <w:pPr>
              <w:overflowPunct w:val="0"/>
              <w:spacing w:line="560" w:lineRule="exact"/>
              <w:jc w:val="center"/>
              <w:rPr>
                <w:rFonts w:hint="default" w:ascii="Times New Roman" w:hAnsi="Times New Roman" w:eastAsia="方正仿宋简体" w:cs="Times New Roman"/>
                <w:color w:val="auto"/>
                <w:kern w:val="0"/>
                <w:szCs w:val="21"/>
                <w:highlight w:val="none"/>
              </w:rPr>
            </w:pPr>
          </w:p>
        </w:tc>
        <w:tc>
          <w:tcPr>
            <w:tcW w:w="1900" w:type="dxa"/>
            <w:vMerge w:val="continue"/>
            <w:tcBorders>
              <w:top w:val="single" w:color="auto" w:sz="4" w:space="0"/>
              <w:left w:val="single" w:color="auto" w:sz="4" w:space="0"/>
              <w:bottom w:val="single" w:color="000000" w:sz="4" w:space="0"/>
              <w:right w:val="single" w:color="auto" w:sz="4" w:space="0"/>
            </w:tcBorders>
            <w:vAlign w:val="center"/>
          </w:tcPr>
          <w:p>
            <w:pPr>
              <w:overflowPunct w:val="0"/>
              <w:spacing w:line="560" w:lineRule="exact"/>
              <w:jc w:val="center"/>
              <w:rPr>
                <w:rFonts w:hint="default" w:ascii="Times New Roman" w:hAnsi="Times New Roman" w:cs="Times New Roman"/>
                <w:color w:val="auto"/>
                <w:kern w:val="0"/>
                <w:szCs w:val="21"/>
                <w:highlight w:val="none"/>
              </w:rPr>
            </w:pPr>
          </w:p>
        </w:tc>
        <w:tc>
          <w:tcPr>
            <w:tcW w:w="1702" w:type="dxa"/>
            <w:vMerge w:val="continue"/>
            <w:tcBorders>
              <w:top w:val="single" w:color="auto" w:sz="4" w:space="0"/>
              <w:left w:val="single" w:color="auto" w:sz="4" w:space="0"/>
              <w:bottom w:val="single" w:color="000000" w:sz="4" w:space="0"/>
              <w:right w:val="single" w:color="auto" w:sz="4" w:space="0"/>
            </w:tcBorders>
            <w:vAlign w:val="center"/>
          </w:tcPr>
          <w:p>
            <w:pPr>
              <w:overflowPunct w:val="0"/>
              <w:spacing w:line="560" w:lineRule="exact"/>
              <w:jc w:val="center"/>
              <w:rPr>
                <w:rFonts w:hint="default" w:ascii="Times New Roman" w:hAnsi="Times New Roman" w:cs="Times New Roman"/>
                <w:color w:val="auto"/>
                <w:kern w:val="0"/>
                <w:szCs w:val="21"/>
                <w:highlight w:val="none"/>
              </w:rPr>
            </w:pPr>
          </w:p>
        </w:tc>
      </w:tr>
    </w:tbl>
    <w:p>
      <w:pPr>
        <w:keepNext w:val="0"/>
        <w:keepLines w:val="0"/>
        <w:pageBreakBefore w:val="0"/>
        <w:widowControl w:val="0"/>
        <w:numPr>
          <w:ilvl w:val="0"/>
          <w:numId w:val="0"/>
        </w:numPr>
        <w:kinsoku/>
        <w:wordWrap/>
        <w:overflowPunct w:val="0"/>
        <w:topLinePunct w:val="0"/>
        <w:autoSpaceDE/>
        <w:autoSpaceDN/>
        <w:bidi w:val="0"/>
        <w:spacing w:line="540" w:lineRule="exact"/>
        <w:textAlignment w:val="auto"/>
        <w:rPr>
          <w:rFonts w:hint="default" w:ascii="Times New Roman" w:hAnsi="Times New Roman" w:cs="Times New Roman"/>
          <w:color w:val="auto"/>
          <w:highlight w:val="none"/>
        </w:rPr>
      </w:pPr>
    </w:p>
    <w:p>
      <w:pPr>
        <w:overflowPunct w:val="0"/>
        <w:spacing w:line="580" w:lineRule="exact"/>
        <w:ind w:firstLine="640" w:firstLineChars="200"/>
        <w:rPr>
          <w:rFonts w:hint="default" w:ascii="Times New Roman" w:hAnsi="Times New Roman" w:cs="Times New Roman"/>
          <w:color w:val="auto"/>
          <w:sz w:val="32"/>
          <w:szCs w:val="32"/>
          <w:highlight w:val="none"/>
        </w:rPr>
      </w:pPr>
    </w:p>
    <w:sectPr>
      <w:footerReference r:id="rId3" w:type="default"/>
      <w:pgSz w:w="11906" w:h="16838"/>
      <w:pgMar w:top="1701" w:right="1502" w:bottom="1701" w:left="1502"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rPr>
                    <w:rFonts w:hint="default"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hint="default" w:asciiTheme="majorEastAsia" w:hAnsiTheme="majorEastAsia" w:eastAsiaTheme="majorEastAsia" w:cstheme="majorEastAsia"/>
                    <w:sz w:val="28"/>
                    <w:szCs w:val="28"/>
                  </w:rPr>
                  <w:t>12</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3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jNTJiMTNiNDhjMDVmMGJkZjYzM2Y3ODkxOTk4N2IifQ=="/>
  </w:docVars>
  <w:rsids>
    <w:rsidRoot w:val="00E26D63"/>
    <w:rsid w:val="000010DE"/>
    <w:rsid w:val="00001CB7"/>
    <w:rsid w:val="00007A03"/>
    <w:rsid w:val="00010A0C"/>
    <w:rsid w:val="00017CCC"/>
    <w:rsid w:val="00025324"/>
    <w:rsid w:val="0003153D"/>
    <w:rsid w:val="00034246"/>
    <w:rsid w:val="00034CA9"/>
    <w:rsid w:val="000409D1"/>
    <w:rsid w:val="000416DF"/>
    <w:rsid w:val="00046F47"/>
    <w:rsid w:val="00051F2C"/>
    <w:rsid w:val="00052DC5"/>
    <w:rsid w:val="0005526A"/>
    <w:rsid w:val="000703AF"/>
    <w:rsid w:val="000734F5"/>
    <w:rsid w:val="00073932"/>
    <w:rsid w:val="000818E7"/>
    <w:rsid w:val="00083440"/>
    <w:rsid w:val="00092230"/>
    <w:rsid w:val="00092408"/>
    <w:rsid w:val="000941CD"/>
    <w:rsid w:val="00096884"/>
    <w:rsid w:val="00097BB7"/>
    <w:rsid w:val="000A2713"/>
    <w:rsid w:val="000A4251"/>
    <w:rsid w:val="000B5BBC"/>
    <w:rsid w:val="000D5675"/>
    <w:rsid w:val="000E3C9F"/>
    <w:rsid w:val="000E4377"/>
    <w:rsid w:val="000F1602"/>
    <w:rsid w:val="000F5506"/>
    <w:rsid w:val="001119D0"/>
    <w:rsid w:val="00115081"/>
    <w:rsid w:val="00115794"/>
    <w:rsid w:val="00117727"/>
    <w:rsid w:val="001222DD"/>
    <w:rsid w:val="0012236A"/>
    <w:rsid w:val="00122623"/>
    <w:rsid w:val="00123A94"/>
    <w:rsid w:val="00124078"/>
    <w:rsid w:val="00132574"/>
    <w:rsid w:val="00135D85"/>
    <w:rsid w:val="0013726D"/>
    <w:rsid w:val="00140AFB"/>
    <w:rsid w:val="001413C0"/>
    <w:rsid w:val="001458BE"/>
    <w:rsid w:val="00147FC6"/>
    <w:rsid w:val="001533FD"/>
    <w:rsid w:val="00162BB9"/>
    <w:rsid w:val="001654BD"/>
    <w:rsid w:val="00165BB5"/>
    <w:rsid w:val="001750CE"/>
    <w:rsid w:val="00180D7C"/>
    <w:rsid w:val="00184C32"/>
    <w:rsid w:val="00192ECC"/>
    <w:rsid w:val="001942D4"/>
    <w:rsid w:val="00195694"/>
    <w:rsid w:val="0019758E"/>
    <w:rsid w:val="001A0039"/>
    <w:rsid w:val="001A4B96"/>
    <w:rsid w:val="001B0C16"/>
    <w:rsid w:val="001B13D5"/>
    <w:rsid w:val="001D08AE"/>
    <w:rsid w:val="001E3B74"/>
    <w:rsid w:val="001E58CD"/>
    <w:rsid w:val="001E728F"/>
    <w:rsid w:val="001E7379"/>
    <w:rsid w:val="001E757A"/>
    <w:rsid w:val="001E78C2"/>
    <w:rsid w:val="001F6E4A"/>
    <w:rsid w:val="001F6E7F"/>
    <w:rsid w:val="00203E85"/>
    <w:rsid w:val="00222093"/>
    <w:rsid w:val="00233ABD"/>
    <w:rsid w:val="0024056D"/>
    <w:rsid w:val="00240FFF"/>
    <w:rsid w:val="00247C4D"/>
    <w:rsid w:val="00255E74"/>
    <w:rsid w:val="00256BFF"/>
    <w:rsid w:val="00257356"/>
    <w:rsid w:val="00257BAD"/>
    <w:rsid w:val="0026030C"/>
    <w:rsid w:val="002611BC"/>
    <w:rsid w:val="00264CF2"/>
    <w:rsid w:val="00277C6C"/>
    <w:rsid w:val="00282157"/>
    <w:rsid w:val="00286AF4"/>
    <w:rsid w:val="002926C9"/>
    <w:rsid w:val="00295396"/>
    <w:rsid w:val="00296A5B"/>
    <w:rsid w:val="002971EF"/>
    <w:rsid w:val="002A15E1"/>
    <w:rsid w:val="002A2A0F"/>
    <w:rsid w:val="002A2E54"/>
    <w:rsid w:val="002A58D7"/>
    <w:rsid w:val="002A7A2D"/>
    <w:rsid w:val="002B1C80"/>
    <w:rsid w:val="002B4066"/>
    <w:rsid w:val="002C3F8C"/>
    <w:rsid w:val="002C5A32"/>
    <w:rsid w:val="002D1A97"/>
    <w:rsid w:val="002D4514"/>
    <w:rsid w:val="002E0680"/>
    <w:rsid w:val="002E0AE0"/>
    <w:rsid w:val="002E188B"/>
    <w:rsid w:val="002F1CE6"/>
    <w:rsid w:val="002F30C5"/>
    <w:rsid w:val="00300431"/>
    <w:rsid w:val="00305F79"/>
    <w:rsid w:val="00311505"/>
    <w:rsid w:val="00313057"/>
    <w:rsid w:val="00314520"/>
    <w:rsid w:val="003150F9"/>
    <w:rsid w:val="00323FC4"/>
    <w:rsid w:val="00324A40"/>
    <w:rsid w:val="00326478"/>
    <w:rsid w:val="00330AB4"/>
    <w:rsid w:val="00330E48"/>
    <w:rsid w:val="00333061"/>
    <w:rsid w:val="0033353D"/>
    <w:rsid w:val="0033436D"/>
    <w:rsid w:val="003372DB"/>
    <w:rsid w:val="003427FC"/>
    <w:rsid w:val="003442EC"/>
    <w:rsid w:val="0034707F"/>
    <w:rsid w:val="00347243"/>
    <w:rsid w:val="003506A3"/>
    <w:rsid w:val="00350CB1"/>
    <w:rsid w:val="00354BB0"/>
    <w:rsid w:val="00357F44"/>
    <w:rsid w:val="00362058"/>
    <w:rsid w:val="0036454A"/>
    <w:rsid w:val="00364553"/>
    <w:rsid w:val="00376D90"/>
    <w:rsid w:val="00377C48"/>
    <w:rsid w:val="00383F21"/>
    <w:rsid w:val="0038663A"/>
    <w:rsid w:val="003904B5"/>
    <w:rsid w:val="003A2745"/>
    <w:rsid w:val="003A3D0C"/>
    <w:rsid w:val="003A775F"/>
    <w:rsid w:val="003B0852"/>
    <w:rsid w:val="003B7CD7"/>
    <w:rsid w:val="003C1309"/>
    <w:rsid w:val="003C28A6"/>
    <w:rsid w:val="003D48B8"/>
    <w:rsid w:val="003E3C06"/>
    <w:rsid w:val="003E423E"/>
    <w:rsid w:val="003F3A06"/>
    <w:rsid w:val="003F602E"/>
    <w:rsid w:val="003F693C"/>
    <w:rsid w:val="00406E70"/>
    <w:rsid w:val="004124BD"/>
    <w:rsid w:val="00414678"/>
    <w:rsid w:val="00414D64"/>
    <w:rsid w:val="00421C62"/>
    <w:rsid w:val="004319DB"/>
    <w:rsid w:val="00437357"/>
    <w:rsid w:val="004374CF"/>
    <w:rsid w:val="004418B8"/>
    <w:rsid w:val="00446DF3"/>
    <w:rsid w:val="00450D1C"/>
    <w:rsid w:val="004538D0"/>
    <w:rsid w:val="004562A5"/>
    <w:rsid w:val="00467A75"/>
    <w:rsid w:val="00477D45"/>
    <w:rsid w:val="00482DE4"/>
    <w:rsid w:val="00490953"/>
    <w:rsid w:val="0049125F"/>
    <w:rsid w:val="0049646E"/>
    <w:rsid w:val="00497163"/>
    <w:rsid w:val="004A2F4C"/>
    <w:rsid w:val="004A42EF"/>
    <w:rsid w:val="004A6ED6"/>
    <w:rsid w:val="004C0E0B"/>
    <w:rsid w:val="004C6C80"/>
    <w:rsid w:val="004D0A00"/>
    <w:rsid w:val="004D2E0F"/>
    <w:rsid w:val="004D67D9"/>
    <w:rsid w:val="004D6E3C"/>
    <w:rsid w:val="004E0F30"/>
    <w:rsid w:val="004E1AEA"/>
    <w:rsid w:val="004E1EC6"/>
    <w:rsid w:val="004E3EA5"/>
    <w:rsid w:val="004E709D"/>
    <w:rsid w:val="004F231A"/>
    <w:rsid w:val="004F7D71"/>
    <w:rsid w:val="00502DD7"/>
    <w:rsid w:val="00503831"/>
    <w:rsid w:val="00506806"/>
    <w:rsid w:val="0050685E"/>
    <w:rsid w:val="005132AD"/>
    <w:rsid w:val="00514881"/>
    <w:rsid w:val="00520056"/>
    <w:rsid w:val="00521287"/>
    <w:rsid w:val="0052789E"/>
    <w:rsid w:val="005339F9"/>
    <w:rsid w:val="0053502F"/>
    <w:rsid w:val="00542535"/>
    <w:rsid w:val="00543C64"/>
    <w:rsid w:val="00544A59"/>
    <w:rsid w:val="00545567"/>
    <w:rsid w:val="00545A09"/>
    <w:rsid w:val="0055322D"/>
    <w:rsid w:val="00554200"/>
    <w:rsid w:val="00557D4D"/>
    <w:rsid w:val="0056585A"/>
    <w:rsid w:val="00565C86"/>
    <w:rsid w:val="005756F2"/>
    <w:rsid w:val="0057770B"/>
    <w:rsid w:val="00577E45"/>
    <w:rsid w:val="00580977"/>
    <w:rsid w:val="00591F8E"/>
    <w:rsid w:val="00592776"/>
    <w:rsid w:val="00594771"/>
    <w:rsid w:val="0059663B"/>
    <w:rsid w:val="005A1F20"/>
    <w:rsid w:val="005A4036"/>
    <w:rsid w:val="005A6BE3"/>
    <w:rsid w:val="005B3393"/>
    <w:rsid w:val="005B55EA"/>
    <w:rsid w:val="005B7133"/>
    <w:rsid w:val="005C1222"/>
    <w:rsid w:val="005C6674"/>
    <w:rsid w:val="005D0BDF"/>
    <w:rsid w:val="005D600F"/>
    <w:rsid w:val="005D6108"/>
    <w:rsid w:val="005E0F25"/>
    <w:rsid w:val="005E1D6D"/>
    <w:rsid w:val="005E5158"/>
    <w:rsid w:val="005E6BDD"/>
    <w:rsid w:val="005E718B"/>
    <w:rsid w:val="00600726"/>
    <w:rsid w:val="00610DF8"/>
    <w:rsid w:val="006216BA"/>
    <w:rsid w:val="0062363B"/>
    <w:rsid w:val="00624668"/>
    <w:rsid w:val="006276F3"/>
    <w:rsid w:val="00630BCD"/>
    <w:rsid w:val="00640409"/>
    <w:rsid w:val="0064152D"/>
    <w:rsid w:val="00642AD8"/>
    <w:rsid w:val="00647133"/>
    <w:rsid w:val="00651266"/>
    <w:rsid w:val="0065233F"/>
    <w:rsid w:val="00655625"/>
    <w:rsid w:val="006629B5"/>
    <w:rsid w:val="0066472D"/>
    <w:rsid w:val="006677D5"/>
    <w:rsid w:val="006679B6"/>
    <w:rsid w:val="00675810"/>
    <w:rsid w:val="00676F1B"/>
    <w:rsid w:val="00682344"/>
    <w:rsid w:val="00684896"/>
    <w:rsid w:val="00692FC1"/>
    <w:rsid w:val="006A0355"/>
    <w:rsid w:val="006A39AB"/>
    <w:rsid w:val="006B24AB"/>
    <w:rsid w:val="006B342B"/>
    <w:rsid w:val="006C6E6A"/>
    <w:rsid w:val="006C7316"/>
    <w:rsid w:val="006D0EB7"/>
    <w:rsid w:val="006D240F"/>
    <w:rsid w:val="006D428B"/>
    <w:rsid w:val="006D4FF7"/>
    <w:rsid w:val="006E1A00"/>
    <w:rsid w:val="006E2726"/>
    <w:rsid w:val="006E2C2C"/>
    <w:rsid w:val="006E4FBA"/>
    <w:rsid w:val="006E530C"/>
    <w:rsid w:val="006E5D49"/>
    <w:rsid w:val="006F0469"/>
    <w:rsid w:val="006F31A0"/>
    <w:rsid w:val="006F3A88"/>
    <w:rsid w:val="00703052"/>
    <w:rsid w:val="00712BDB"/>
    <w:rsid w:val="00712E75"/>
    <w:rsid w:val="00715470"/>
    <w:rsid w:val="0071593F"/>
    <w:rsid w:val="0072461E"/>
    <w:rsid w:val="00730D3D"/>
    <w:rsid w:val="00736F92"/>
    <w:rsid w:val="00741781"/>
    <w:rsid w:val="0074375B"/>
    <w:rsid w:val="007457D9"/>
    <w:rsid w:val="007472D3"/>
    <w:rsid w:val="00751703"/>
    <w:rsid w:val="00757F86"/>
    <w:rsid w:val="00765D98"/>
    <w:rsid w:val="00773218"/>
    <w:rsid w:val="007743DB"/>
    <w:rsid w:val="00777146"/>
    <w:rsid w:val="0079503C"/>
    <w:rsid w:val="007965E6"/>
    <w:rsid w:val="007A26A1"/>
    <w:rsid w:val="007A78A9"/>
    <w:rsid w:val="007B2A4C"/>
    <w:rsid w:val="007B5D57"/>
    <w:rsid w:val="007C1160"/>
    <w:rsid w:val="007C41BF"/>
    <w:rsid w:val="007D7069"/>
    <w:rsid w:val="007D774C"/>
    <w:rsid w:val="007F55AE"/>
    <w:rsid w:val="007F5DC4"/>
    <w:rsid w:val="008021A7"/>
    <w:rsid w:val="0081227D"/>
    <w:rsid w:val="008135D3"/>
    <w:rsid w:val="008143B4"/>
    <w:rsid w:val="00815580"/>
    <w:rsid w:val="00821305"/>
    <w:rsid w:val="008247D3"/>
    <w:rsid w:val="00825BA5"/>
    <w:rsid w:val="00840711"/>
    <w:rsid w:val="008444CB"/>
    <w:rsid w:val="0084511B"/>
    <w:rsid w:val="00847D11"/>
    <w:rsid w:val="008519F2"/>
    <w:rsid w:val="0085231B"/>
    <w:rsid w:val="008543AA"/>
    <w:rsid w:val="00855A29"/>
    <w:rsid w:val="008570C1"/>
    <w:rsid w:val="0086152C"/>
    <w:rsid w:val="0086176F"/>
    <w:rsid w:val="00862E6A"/>
    <w:rsid w:val="00864D63"/>
    <w:rsid w:val="00866B3D"/>
    <w:rsid w:val="00870BB2"/>
    <w:rsid w:val="00870F89"/>
    <w:rsid w:val="0087698D"/>
    <w:rsid w:val="00880879"/>
    <w:rsid w:val="00881617"/>
    <w:rsid w:val="00883B63"/>
    <w:rsid w:val="00883DEF"/>
    <w:rsid w:val="008851E5"/>
    <w:rsid w:val="00891C94"/>
    <w:rsid w:val="008A20BF"/>
    <w:rsid w:val="008A2E92"/>
    <w:rsid w:val="008A65B4"/>
    <w:rsid w:val="008B13AC"/>
    <w:rsid w:val="008B357A"/>
    <w:rsid w:val="008B75FE"/>
    <w:rsid w:val="008C4F67"/>
    <w:rsid w:val="008C6BB2"/>
    <w:rsid w:val="008E1049"/>
    <w:rsid w:val="008E4DB5"/>
    <w:rsid w:val="008E6697"/>
    <w:rsid w:val="008E669C"/>
    <w:rsid w:val="008F26D3"/>
    <w:rsid w:val="008F3382"/>
    <w:rsid w:val="008F3AFD"/>
    <w:rsid w:val="009018D8"/>
    <w:rsid w:val="00911E84"/>
    <w:rsid w:val="0091463F"/>
    <w:rsid w:val="0091660D"/>
    <w:rsid w:val="00916FAF"/>
    <w:rsid w:val="00923A12"/>
    <w:rsid w:val="00924613"/>
    <w:rsid w:val="0092473A"/>
    <w:rsid w:val="00924AF9"/>
    <w:rsid w:val="00925315"/>
    <w:rsid w:val="00932EF8"/>
    <w:rsid w:val="00936908"/>
    <w:rsid w:val="00936CC9"/>
    <w:rsid w:val="00940719"/>
    <w:rsid w:val="00942BD5"/>
    <w:rsid w:val="0094421D"/>
    <w:rsid w:val="009547D8"/>
    <w:rsid w:val="00965DCC"/>
    <w:rsid w:val="00975EA7"/>
    <w:rsid w:val="009761C9"/>
    <w:rsid w:val="0098130C"/>
    <w:rsid w:val="00981483"/>
    <w:rsid w:val="0098330B"/>
    <w:rsid w:val="00983FD3"/>
    <w:rsid w:val="00984E36"/>
    <w:rsid w:val="00986C20"/>
    <w:rsid w:val="00994C88"/>
    <w:rsid w:val="009B3A2A"/>
    <w:rsid w:val="009C0A36"/>
    <w:rsid w:val="009C7AD3"/>
    <w:rsid w:val="009D2CCD"/>
    <w:rsid w:val="009E2741"/>
    <w:rsid w:val="009E39D1"/>
    <w:rsid w:val="009E592B"/>
    <w:rsid w:val="009F4F59"/>
    <w:rsid w:val="009F614F"/>
    <w:rsid w:val="00A04B69"/>
    <w:rsid w:val="00A126AE"/>
    <w:rsid w:val="00A127DA"/>
    <w:rsid w:val="00A21766"/>
    <w:rsid w:val="00A22909"/>
    <w:rsid w:val="00A22D80"/>
    <w:rsid w:val="00A25228"/>
    <w:rsid w:val="00A25AC5"/>
    <w:rsid w:val="00A279EE"/>
    <w:rsid w:val="00A305AE"/>
    <w:rsid w:val="00A3175D"/>
    <w:rsid w:val="00A325AE"/>
    <w:rsid w:val="00A332FC"/>
    <w:rsid w:val="00A33B55"/>
    <w:rsid w:val="00A35E4E"/>
    <w:rsid w:val="00A40C4A"/>
    <w:rsid w:val="00A51A46"/>
    <w:rsid w:val="00A53949"/>
    <w:rsid w:val="00A53CF9"/>
    <w:rsid w:val="00A62A9F"/>
    <w:rsid w:val="00A62B17"/>
    <w:rsid w:val="00A65B2C"/>
    <w:rsid w:val="00A66374"/>
    <w:rsid w:val="00A76D29"/>
    <w:rsid w:val="00A77D21"/>
    <w:rsid w:val="00A80853"/>
    <w:rsid w:val="00A82227"/>
    <w:rsid w:val="00A82799"/>
    <w:rsid w:val="00A8279D"/>
    <w:rsid w:val="00A83FAB"/>
    <w:rsid w:val="00A84A53"/>
    <w:rsid w:val="00A901DE"/>
    <w:rsid w:val="00A91A8E"/>
    <w:rsid w:val="00A91EB6"/>
    <w:rsid w:val="00A930D2"/>
    <w:rsid w:val="00AA0A5D"/>
    <w:rsid w:val="00AA29C1"/>
    <w:rsid w:val="00AA6C72"/>
    <w:rsid w:val="00AA76A8"/>
    <w:rsid w:val="00AB4ECF"/>
    <w:rsid w:val="00AC1EBF"/>
    <w:rsid w:val="00AC4851"/>
    <w:rsid w:val="00AC51BC"/>
    <w:rsid w:val="00AC51F1"/>
    <w:rsid w:val="00AD4BCD"/>
    <w:rsid w:val="00AE1EDD"/>
    <w:rsid w:val="00AE65DD"/>
    <w:rsid w:val="00AF3938"/>
    <w:rsid w:val="00AF5F80"/>
    <w:rsid w:val="00AF63D5"/>
    <w:rsid w:val="00AF65D1"/>
    <w:rsid w:val="00B069DC"/>
    <w:rsid w:val="00B10882"/>
    <w:rsid w:val="00B10A95"/>
    <w:rsid w:val="00B12783"/>
    <w:rsid w:val="00B13542"/>
    <w:rsid w:val="00B17FFB"/>
    <w:rsid w:val="00B21444"/>
    <w:rsid w:val="00B23191"/>
    <w:rsid w:val="00B250E8"/>
    <w:rsid w:val="00B27FC6"/>
    <w:rsid w:val="00B321CD"/>
    <w:rsid w:val="00B3469B"/>
    <w:rsid w:val="00B55233"/>
    <w:rsid w:val="00B7300D"/>
    <w:rsid w:val="00B7690F"/>
    <w:rsid w:val="00B76D85"/>
    <w:rsid w:val="00B76FC4"/>
    <w:rsid w:val="00B77096"/>
    <w:rsid w:val="00B80A92"/>
    <w:rsid w:val="00B81DBB"/>
    <w:rsid w:val="00B82E36"/>
    <w:rsid w:val="00B84840"/>
    <w:rsid w:val="00B84FF7"/>
    <w:rsid w:val="00B85AA1"/>
    <w:rsid w:val="00B92E34"/>
    <w:rsid w:val="00B95FA3"/>
    <w:rsid w:val="00B968AA"/>
    <w:rsid w:val="00BB6A93"/>
    <w:rsid w:val="00BC0DD9"/>
    <w:rsid w:val="00BC0FCC"/>
    <w:rsid w:val="00BC3BD1"/>
    <w:rsid w:val="00BE0DC9"/>
    <w:rsid w:val="00BE393A"/>
    <w:rsid w:val="00BE6592"/>
    <w:rsid w:val="00BE77DC"/>
    <w:rsid w:val="00C0496A"/>
    <w:rsid w:val="00C0763F"/>
    <w:rsid w:val="00C10AD9"/>
    <w:rsid w:val="00C1352D"/>
    <w:rsid w:val="00C17F0D"/>
    <w:rsid w:val="00C23D5E"/>
    <w:rsid w:val="00C2464B"/>
    <w:rsid w:val="00C249C4"/>
    <w:rsid w:val="00C249E1"/>
    <w:rsid w:val="00C32861"/>
    <w:rsid w:val="00C33DDB"/>
    <w:rsid w:val="00C33FB8"/>
    <w:rsid w:val="00C404B8"/>
    <w:rsid w:val="00C4314E"/>
    <w:rsid w:val="00C43CB2"/>
    <w:rsid w:val="00C44052"/>
    <w:rsid w:val="00C46B8B"/>
    <w:rsid w:val="00C546F5"/>
    <w:rsid w:val="00C66134"/>
    <w:rsid w:val="00C73A9C"/>
    <w:rsid w:val="00C73DB1"/>
    <w:rsid w:val="00C76DF8"/>
    <w:rsid w:val="00C77473"/>
    <w:rsid w:val="00C81F1D"/>
    <w:rsid w:val="00C87672"/>
    <w:rsid w:val="00C911D9"/>
    <w:rsid w:val="00C92B90"/>
    <w:rsid w:val="00C96788"/>
    <w:rsid w:val="00C97AF5"/>
    <w:rsid w:val="00CA0832"/>
    <w:rsid w:val="00CA1300"/>
    <w:rsid w:val="00CA244D"/>
    <w:rsid w:val="00CA2666"/>
    <w:rsid w:val="00CB6601"/>
    <w:rsid w:val="00CC1C76"/>
    <w:rsid w:val="00CC28D0"/>
    <w:rsid w:val="00CC5DA2"/>
    <w:rsid w:val="00CD2926"/>
    <w:rsid w:val="00CD3394"/>
    <w:rsid w:val="00CD6047"/>
    <w:rsid w:val="00CD7B36"/>
    <w:rsid w:val="00CE15CD"/>
    <w:rsid w:val="00CE4BF8"/>
    <w:rsid w:val="00CE517B"/>
    <w:rsid w:val="00CE6E39"/>
    <w:rsid w:val="00CF2C4F"/>
    <w:rsid w:val="00CF348B"/>
    <w:rsid w:val="00D00482"/>
    <w:rsid w:val="00D07511"/>
    <w:rsid w:val="00D1077C"/>
    <w:rsid w:val="00D134EC"/>
    <w:rsid w:val="00D216CE"/>
    <w:rsid w:val="00D24A48"/>
    <w:rsid w:val="00D276B3"/>
    <w:rsid w:val="00D34DB9"/>
    <w:rsid w:val="00D35E84"/>
    <w:rsid w:val="00D4115D"/>
    <w:rsid w:val="00D451FE"/>
    <w:rsid w:val="00D52ABD"/>
    <w:rsid w:val="00D548F1"/>
    <w:rsid w:val="00D54952"/>
    <w:rsid w:val="00D6012F"/>
    <w:rsid w:val="00D91AA1"/>
    <w:rsid w:val="00D91CBB"/>
    <w:rsid w:val="00D92DF2"/>
    <w:rsid w:val="00D962DB"/>
    <w:rsid w:val="00DA061A"/>
    <w:rsid w:val="00DA35D7"/>
    <w:rsid w:val="00DA58C8"/>
    <w:rsid w:val="00DB2EED"/>
    <w:rsid w:val="00DB7CA5"/>
    <w:rsid w:val="00DC4C27"/>
    <w:rsid w:val="00DC5A36"/>
    <w:rsid w:val="00DC5A8E"/>
    <w:rsid w:val="00DD0818"/>
    <w:rsid w:val="00DD3389"/>
    <w:rsid w:val="00DD3780"/>
    <w:rsid w:val="00DE56F1"/>
    <w:rsid w:val="00DE6771"/>
    <w:rsid w:val="00DE72F3"/>
    <w:rsid w:val="00DF2291"/>
    <w:rsid w:val="00DF44A4"/>
    <w:rsid w:val="00E06255"/>
    <w:rsid w:val="00E070E8"/>
    <w:rsid w:val="00E1241A"/>
    <w:rsid w:val="00E125B1"/>
    <w:rsid w:val="00E155D3"/>
    <w:rsid w:val="00E230F6"/>
    <w:rsid w:val="00E23199"/>
    <w:rsid w:val="00E26D63"/>
    <w:rsid w:val="00E2792D"/>
    <w:rsid w:val="00E40771"/>
    <w:rsid w:val="00E41E52"/>
    <w:rsid w:val="00E42CCB"/>
    <w:rsid w:val="00E4471C"/>
    <w:rsid w:val="00E4542B"/>
    <w:rsid w:val="00E50C56"/>
    <w:rsid w:val="00E64734"/>
    <w:rsid w:val="00E6510E"/>
    <w:rsid w:val="00E7046C"/>
    <w:rsid w:val="00E86F35"/>
    <w:rsid w:val="00E94940"/>
    <w:rsid w:val="00E97401"/>
    <w:rsid w:val="00EA0ACD"/>
    <w:rsid w:val="00EA21E2"/>
    <w:rsid w:val="00EA5806"/>
    <w:rsid w:val="00EA637C"/>
    <w:rsid w:val="00EA6712"/>
    <w:rsid w:val="00EB3854"/>
    <w:rsid w:val="00EB39EC"/>
    <w:rsid w:val="00EC0C02"/>
    <w:rsid w:val="00EC347A"/>
    <w:rsid w:val="00EC5F09"/>
    <w:rsid w:val="00EC691B"/>
    <w:rsid w:val="00ED1FE3"/>
    <w:rsid w:val="00ED329F"/>
    <w:rsid w:val="00ED6D22"/>
    <w:rsid w:val="00ED765A"/>
    <w:rsid w:val="00EE4812"/>
    <w:rsid w:val="00EE6136"/>
    <w:rsid w:val="00EE6195"/>
    <w:rsid w:val="00EE6719"/>
    <w:rsid w:val="00EF1A54"/>
    <w:rsid w:val="00EF2C29"/>
    <w:rsid w:val="00EF3B06"/>
    <w:rsid w:val="00EF3E4B"/>
    <w:rsid w:val="00EF6913"/>
    <w:rsid w:val="00EF6ECB"/>
    <w:rsid w:val="00F004B1"/>
    <w:rsid w:val="00F00E94"/>
    <w:rsid w:val="00F01C65"/>
    <w:rsid w:val="00F03AE4"/>
    <w:rsid w:val="00F10D29"/>
    <w:rsid w:val="00F13836"/>
    <w:rsid w:val="00F1481D"/>
    <w:rsid w:val="00F2191B"/>
    <w:rsid w:val="00F308BA"/>
    <w:rsid w:val="00F33CB8"/>
    <w:rsid w:val="00F35997"/>
    <w:rsid w:val="00F37F72"/>
    <w:rsid w:val="00F42FAE"/>
    <w:rsid w:val="00F435AC"/>
    <w:rsid w:val="00F47B00"/>
    <w:rsid w:val="00F51EC6"/>
    <w:rsid w:val="00F52C6D"/>
    <w:rsid w:val="00F52C72"/>
    <w:rsid w:val="00F54106"/>
    <w:rsid w:val="00F5471F"/>
    <w:rsid w:val="00F557E4"/>
    <w:rsid w:val="00F640C1"/>
    <w:rsid w:val="00F7160F"/>
    <w:rsid w:val="00F7205C"/>
    <w:rsid w:val="00F7529F"/>
    <w:rsid w:val="00F84D35"/>
    <w:rsid w:val="00F9553E"/>
    <w:rsid w:val="00F96A2F"/>
    <w:rsid w:val="00FA082D"/>
    <w:rsid w:val="00FA1D71"/>
    <w:rsid w:val="00FA2467"/>
    <w:rsid w:val="00FA3810"/>
    <w:rsid w:val="00FA7153"/>
    <w:rsid w:val="00FA7B29"/>
    <w:rsid w:val="00FB1B8B"/>
    <w:rsid w:val="00FB2454"/>
    <w:rsid w:val="00FB5048"/>
    <w:rsid w:val="00FB599C"/>
    <w:rsid w:val="00FC0AC8"/>
    <w:rsid w:val="00FC1259"/>
    <w:rsid w:val="00FC5F8F"/>
    <w:rsid w:val="00FD0F2B"/>
    <w:rsid w:val="00FE6F1A"/>
    <w:rsid w:val="00FF12D1"/>
    <w:rsid w:val="00FF24B0"/>
    <w:rsid w:val="02305139"/>
    <w:rsid w:val="02DD41B1"/>
    <w:rsid w:val="055C64B1"/>
    <w:rsid w:val="06D81C22"/>
    <w:rsid w:val="06FD7D06"/>
    <w:rsid w:val="085A2FA2"/>
    <w:rsid w:val="08E22260"/>
    <w:rsid w:val="09426B42"/>
    <w:rsid w:val="0F3A67C9"/>
    <w:rsid w:val="10D95F27"/>
    <w:rsid w:val="116C4076"/>
    <w:rsid w:val="137F2013"/>
    <w:rsid w:val="13D41BF3"/>
    <w:rsid w:val="14E4485A"/>
    <w:rsid w:val="15EE0713"/>
    <w:rsid w:val="16F118AA"/>
    <w:rsid w:val="1767428D"/>
    <w:rsid w:val="1BBB4BA7"/>
    <w:rsid w:val="22FB1BC8"/>
    <w:rsid w:val="25022D5E"/>
    <w:rsid w:val="291B5674"/>
    <w:rsid w:val="2A3B37CE"/>
    <w:rsid w:val="2C05091E"/>
    <w:rsid w:val="2F792BF1"/>
    <w:rsid w:val="307712BB"/>
    <w:rsid w:val="312123DA"/>
    <w:rsid w:val="32420E76"/>
    <w:rsid w:val="330120A5"/>
    <w:rsid w:val="33346B07"/>
    <w:rsid w:val="39A861B7"/>
    <w:rsid w:val="3A483652"/>
    <w:rsid w:val="3ABD6153"/>
    <w:rsid w:val="3CB71A7D"/>
    <w:rsid w:val="3E8722D0"/>
    <w:rsid w:val="409F04FB"/>
    <w:rsid w:val="40BE21DA"/>
    <w:rsid w:val="43E21497"/>
    <w:rsid w:val="44B43145"/>
    <w:rsid w:val="455F70F6"/>
    <w:rsid w:val="47A34147"/>
    <w:rsid w:val="49B71AB9"/>
    <w:rsid w:val="4A123335"/>
    <w:rsid w:val="4A5C34BB"/>
    <w:rsid w:val="4E2F4514"/>
    <w:rsid w:val="4F2030D6"/>
    <w:rsid w:val="4F42290E"/>
    <w:rsid w:val="4FDF097E"/>
    <w:rsid w:val="512D06B6"/>
    <w:rsid w:val="550242DF"/>
    <w:rsid w:val="55AA0B25"/>
    <w:rsid w:val="560A1313"/>
    <w:rsid w:val="56427575"/>
    <w:rsid w:val="58015B14"/>
    <w:rsid w:val="58CA02DD"/>
    <w:rsid w:val="59A37564"/>
    <w:rsid w:val="59EF227E"/>
    <w:rsid w:val="5D417E05"/>
    <w:rsid w:val="60705E84"/>
    <w:rsid w:val="63111710"/>
    <w:rsid w:val="63552CC7"/>
    <w:rsid w:val="65992F39"/>
    <w:rsid w:val="67FC705C"/>
    <w:rsid w:val="6A2D4656"/>
    <w:rsid w:val="6CD34A4C"/>
    <w:rsid w:val="6E7122BD"/>
    <w:rsid w:val="6FF30F67"/>
    <w:rsid w:val="6FFE1A7D"/>
    <w:rsid w:val="6FFF7D42"/>
    <w:rsid w:val="73AD2FDC"/>
    <w:rsid w:val="73CD182A"/>
    <w:rsid w:val="751111B0"/>
    <w:rsid w:val="7539483F"/>
    <w:rsid w:val="75AF05E9"/>
    <w:rsid w:val="79163E57"/>
    <w:rsid w:val="792B7DEB"/>
    <w:rsid w:val="7A84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hint="eastAsia" w:ascii="Times New Roman" w:hAnsi="Times New Roman" w:eastAsia="Times New Roman"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5"/>
    <w:autoRedefine/>
    <w:unhideWhenUsed/>
    <w:qFormat/>
    <w:uiPriority w:val="99"/>
    <w:pPr>
      <w:spacing w:after="120"/>
    </w:pPr>
  </w:style>
  <w:style w:type="paragraph" w:customStyle="1" w:styleId="3">
    <w:name w:val="列出段落1"/>
    <w:basedOn w:val="1"/>
    <w:autoRedefine/>
    <w:unhideWhenUsed/>
    <w:qFormat/>
    <w:uiPriority w:val="0"/>
    <w:pPr>
      <w:spacing w:beforeLines="0" w:afterLines="0"/>
      <w:ind w:firstLine="420"/>
    </w:pPr>
    <w:rPr>
      <w:rFonts w:hint="eastAsia"/>
      <w:sz w:val="21"/>
      <w:szCs w:val="24"/>
    </w:rPr>
  </w:style>
  <w:style w:type="paragraph" w:styleId="4">
    <w:name w:val="Body Text Indent"/>
    <w:basedOn w:val="1"/>
    <w:link w:val="16"/>
    <w:autoRedefine/>
    <w:semiHidden/>
    <w:unhideWhenUsed/>
    <w:qFormat/>
    <w:uiPriority w:val="99"/>
    <w:pPr>
      <w:spacing w:after="120"/>
      <w:ind w:left="420" w:leftChars="200"/>
    </w:pPr>
  </w:style>
  <w:style w:type="paragraph" w:styleId="5">
    <w:name w:val="endnote text"/>
    <w:basedOn w:val="1"/>
    <w:link w:val="20"/>
    <w:autoRedefine/>
    <w:unhideWhenUsed/>
    <w:qFormat/>
    <w:uiPriority w:val="99"/>
    <w:pPr>
      <w:snapToGrid w:val="0"/>
      <w:jc w:val="left"/>
    </w:pPr>
    <w:rPr>
      <w:rFonts w:hint="default" w:asciiTheme="minorHAnsi" w:hAnsiTheme="minorHAnsi" w:eastAsiaTheme="minorEastAsia" w:cstheme="minorBidi"/>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spacing w:before="100" w:beforeAutospacing="1" w:after="100" w:afterAutospacing="1"/>
      <w:jc w:val="left"/>
    </w:pPr>
    <w:rPr>
      <w:rFonts w:hint="default" w:ascii="宋体" w:hAnsi="宋体" w:eastAsia="宋体" w:cs="宋体"/>
      <w:kern w:val="0"/>
      <w:sz w:val="24"/>
    </w:rPr>
  </w:style>
  <w:style w:type="paragraph" w:styleId="9">
    <w:name w:val="Body Text First Indent"/>
    <w:basedOn w:val="2"/>
    <w:link w:val="23"/>
    <w:autoRedefine/>
    <w:qFormat/>
    <w:uiPriority w:val="0"/>
    <w:pPr>
      <w:ind w:firstLine="420" w:firstLineChars="100"/>
    </w:pPr>
    <w:rPr>
      <w:rFonts w:hint="default" w:eastAsia="宋体"/>
    </w:rPr>
  </w:style>
  <w:style w:type="paragraph" w:styleId="10">
    <w:name w:val="Body Text First Indent 2"/>
    <w:basedOn w:val="4"/>
    <w:link w:val="17"/>
    <w:autoRedefine/>
    <w:unhideWhenUsed/>
    <w:qFormat/>
    <w:uiPriority w:val="99"/>
    <w:pPr>
      <w:ind w:firstLine="420" w:firstLineChars="200"/>
    </w:p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customStyle="1" w:styleId="15">
    <w:name w:val="正文文本 Char"/>
    <w:basedOn w:val="12"/>
    <w:link w:val="2"/>
    <w:autoRedefine/>
    <w:qFormat/>
    <w:uiPriority w:val="99"/>
    <w:rPr>
      <w:rFonts w:ascii="Times New Roman" w:hAnsi="Times New Roman" w:eastAsia="Times New Roman" w:cs="Times New Roman"/>
      <w:szCs w:val="24"/>
    </w:rPr>
  </w:style>
  <w:style w:type="character" w:customStyle="1" w:styleId="16">
    <w:name w:val="正文文本缩进 Char"/>
    <w:basedOn w:val="12"/>
    <w:link w:val="4"/>
    <w:autoRedefine/>
    <w:semiHidden/>
    <w:qFormat/>
    <w:uiPriority w:val="99"/>
    <w:rPr>
      <w:rFonts w:ascii="Times New Roman" w:hAnsi="Times New Roman" w:eastAsia="Times New Roman" w:cs="Times New Roman"/>
      <w:szCs w:val="24"/>
    </w:rPr>
  </w:style>
  <w:style w:type="character" w:customStyle="1" w:styleId="17">
    <w:name w:val="正文首行缩进 2 Char"/>
    <w:basedOn w:val="16"/>
    <w:link w:val="10"/>
    <w:autoRedefine/>
    <w:qFormat/>
    <w:uiPriority w:val="99"/>
  </w:style>
  <w:style w:type="character" w:customStyle="1" w:styleId="18">
    <w:name w:val="页眉 Char"/>
    <w:basedOn w:val="12"/>
    <w:link w:val="7"/>
    <w:autoRedefine/>
    <w:semiHidden/>
    <w:qFormat/>
    <w:uiPriority w:val="99"/>
    <w:rPr>
      <w:rFonts w:ascii="Times New Roman" w:hAnsi="Times New Roman" w:eastAsia="Times New Roman" w:cs="Times New Roman"/>
      <w:sz w:val="18"/>
      <w:szCs w:val="18"/>
    </w:rPr>
  </w:style>
  <w:style w:type="character" w:customStyle="1" w:styleId="19">
    <w:name w:val="页脚 Char"/>
    <w:basedOn w:val="12"/>
    <w:link w:val="6"/>
    <w:autoRedefine/>
    <w:semiHidden/>
    <w:qFormat/>
    <w:uiPriority w:val="99"/>
    <w:rPr>
      <w:rFonts w:ascii="Times New Roman" w:hAnsi="Times New Roman" w:eastAsia="Times New Roman" w:cs="Times New Roman"/>
      <w:sz w:val="18"/>
      <w:szCs w:val="18"/>
    </w:rPr>
  </w:style>
  <w:style w:type="character" w:customStyle="1" w:styleId="20">
    <w:name w:val="尾注文本 Char"/>
    <w:basedOn w:val="12"/>
    <w:link w:val="5"/>
    <w:autoRedefine/>
    <w:qFormat/>
    <w:uiPriority w:val="99"/>
    <w:rPr>
      <w:szCs w:val="24"/>
    </w:rPr>
  </w:style>
  <w:style w:type="paragraph" w:customStyle="1" w:styleId="21">
    <w:name w:val="UserStyle_0"/>
    <w:basedOn w:val="1"/>
    <w:next w:val="1"/>
    <w:autoRedefine/>
    <w:qFormat/>
    <w:uiPriority w:val="0"/>
    <w:pPr>
      <w:spacing w:after="120"/>
      <w:textAlignment w:val="baseline"/>
    </w:pPr>
    <w:rPr>
      <w:rFonts w:hint="default" w:asciiTheme="minorHAnsi" w:hAnsiTheme="minorHAnsi" w:eastAsiaTheme="minorEastAsia" w:cstheme="minorBidi"/>
    </w:rPr>
  </w:style>
  <w:style w:type="paragraph" w:customStyle="1" w:styleId="22">
    <w:name w:val="正文文字"/>
    <w:basedOn w:val="1"/>
    <w:next w:val="1"/>
    <w:autoRedefine/>
    <w:qFormat/>
    <w:uiPriority w:val="0"/>
    <w:pPr>
      <w:spacing w:after="120"/>
    </w:pPr>
    <w:rPr>
      <w:rFonts w:hint="default" w:eastAsiaTheme="minorEastAsia"/>
    </w:rPr>
  </w:style>
  <w:style w:type="character" w:customStyle="1" w:styleId="23">
    <w:name w:val="正文首行缩进 Char"/>
    <w:basedOn w:val="15"/>
    <w:link w:val="9"/>
    <w:autoRedefine/>
    <w:qFormat/>
    <w:uiPriority w:val="0"/>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1562</Words>
  <Characters>8909</Characters>
  <Lines>74</Lines>
  <Paragraphs>20</Paragraphs>
  <TotalTime>0</TotalTime>
  <ScaleCrop>false</ScaleCrop>
  <LinksUpToDate>false</LinksUpToDate>
  <CharactersWithSpaces>10451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2023-12-18T09:09:00Z</dcterms:created>
  <dc:creator>Administrator</dc:creator>
  <cp:lastModifiedBy>嘻嘻哈哈</cp:lastModifiedBy>
  <cp:lastPrinted>2023-12-18T08:51:00Z</cp:lastPrinted>
  <dcterms:modified xsi:type="dcterms:W3CDTF">2024-03-14T08:13:16Z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1E85A490F12A48568E301650990751D4_12</vt:lpwstr>
  </property>
</Properties>
</file>