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宋体"/>
          <w:bCs/>
          <w:sz w:val="44"/>
          <w:szCs w:val="44"/>
        </w:rPr>
      </w:pPr>
    </w:p>
    <w:p>
      <w:pPr>
        <w:spacing w:line="66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Cs/>
          <w:sz w:val="44"/>
          <w:szCs w:val="44"/>
        </w:rPr>
        <w:t>株洲市渌口区财政局</w:t>
      </w:r>
    </w:p>
    <w:p>
      <w:pPr>
        <w:spacing w:line="66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Cs/>
          <w:sz w:val="44"/>
          <w:szCs w:val="44"/>
        </w:rPr>
        <w:t>202</w:t>
      </w:r>
      <w:r>
        <w:rPr>
          <w:rFonts w:hint="eastAsia" w:ascii="方正小标宋简体" w:hAnsi="仿宋" w:eastAsia="方正小标宋简体" w:cs="宋体"/>
          <w:bCs/>
          <w:sz w:val="44"/>
          <w:szCs w:val="44"/>
          <w:lang w:val="en-US" w:eastAsia="zh-CN"/>
        </w:rPr>
        <w:t>3</w:t>
      </w:r>
      <w:r>
        <w:rPr>
          <w:rFonts w:hint="eastAsia" w:ascii="方正小标宋简体" w:hAnsi="仿宋" w:eastAsia="方正小标宋简体" w:cs="宋体"/>
          <w:bCs/>
          <w:sz w:val="44"/>
          <w:szCs w:val="44"/>
        </w:rPr>
        <w:t>年度预算绩效管理工作开展情况</w:t>
      </w:r>
    </w:p>
    <w:p>
      <w:pPr>
        <w:jc w:val="center"/>
        <w:rPr>
          <w:rFonts w:ascii="仿宋" w:hAnsi="仿宋" w:eastAsia="仿宋" w:cs="宋体"/>
          <w:b/>
          <w:bCs/>
          <w:sz w:val="32"/>
          <w:szCs w:val="32"/>
        </w:rPr>
      </w:pPr>
    </w:p>
    <w:p>
      <w:pPr>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eastAsia="仿宋_GB2312" w:cs="Times New Roman"/>
          <w:strike w:val="0"/>
          <w:dstrike w:val="0"/>
          <w:color w:val="auto"/>
          <w:sz w:val="32"/>
          <w:szCs w:val="32"/>
          <w:lang w:val="en-US" w:eastAsia="zh-CN"/>
        </w:rPr>
        <w:t>渌口区财政局</w:t>
      </w:r>
      <w:r>
        <w:rPr>
          <w:rFonts w:hint="eastAsia" w:ascii="Times New Roman" w:hAnsi="Times New Roman" w:eastAsia="仿宋_GB2312" w:cs="Times New Roman"/>
          <w:color w:val="auto"/>
          <w:spacing w:val="0"/>
          <w:sz w:val="32"/>
          <w:szCs w:val="32"/>
        </w:rPr>
        <w:t>深入贯彻党的二十大精神，认真落实</w:t>
      </w:r>
      <w:r>
        <w:rPr>
          <w:rFonts w:hint="eastAsia" w:ascii="Times New Roman" w:hAnsi="Times New Roman" w:eastAsia="仿宋_GB2312" w:cs="Times New Roman"/>
          <w:color w:val="auto"/>
          <w:spacing w:val="0"/>
          <w:sz w:val="32"/>
          <w:szCs w:val="32"/>
          <w:lang w:eastAsia="zh-CN"/>
        </w:rPr>
        <w:t>上级</w:t>
      </w:r>
      <w:r>
        <w:rPr>
          <w:rFonts w:hint="eastAsia" w:ascii="Times New Roman" w:hAnsi="Times New Roman" w:eastAsia="仿宋_GB2312" w:cs="Times New Roman"/>
          <w:color w:val="auto"/>
          <w:spacing w:val="0"/>
          <w:sz w:val="32"/>
          <w:szCs w:val="32"/>
        </w:rPr>
        <w:t>决策部署，强化财政“大绩效”管理理念，</w:t>
      </w:r>
      <w:r>
        <w:rPr>
          <w:rFonts w:hint="eastAsia" w:ascii="Times New Roman" w:hAnsi="Times New Roman" w:eastAsia="仿宋_GB2312" w:cs="Times New Roman"/>
          <w:color w:val="auto"/>
          <w:spacing w:val="0"/>
          <w:sz w:val="32"/>
          <w:szCs w:val="32"/>
          <w:lang w:eastAsia="zh-CN"/>
        </w:rPr>
        <w:t>扎实开展</w:t>
      </w:r>
      <w:r>
        <w:rPr>
          <w:rFonts w:hint="eastAsia" w:ascii="Times New Roman" w:hAnsi="Times New Roman" w:eastAsia="仿宋_GB2312" w:cs="Times New Roman"/>
          <w:color w:val="auto"/>
          <w:spacing w:val="0"/>
          <w:sz w:val="32"/>
          <w:szCs w:val="32"/>
        </w:rPr>
        <w:t>财政“绩效管理提升年”行动</w:t>
      </w:r>
      <w:r>
        <w:rPr>
          <w:rFonts w:hint="eastAsia" w:ascii="Times New Roman" w:hAnsi="Times New Roman" w:eastAsia="仿宋_GB2312" w:cs="Times New Roman"/>
          <w:color w:val="auto"/>
          <w:spacing w:val="0"/>
          <w:sz w:val="32"/>
          <w:szCs w:val="32"/>
          <w:lang w:eastAsia="zh-CN"/>
        </w:rPr>
        <w:t>工作</w:t>
      </w:r>
      <w:r>
        <w:rPr>
          <w:rFonts w:hint="eastAsia" w:ascii="Times New Roman" w:hAnsi="Times New Roman" w:eastAsia="仿宋_GB2312" w:cs="Times New Roman"/>
          <w:color w:val="auto"/>
          <w:spacing w:val="0"/>
          <w:sz w:val="32"/>
          <w:szCs w:val="32"/>
        </w:rPr>
        <w:t>，推进全</w:t>
      </w:r>
      <w:r>
        <w:rPr>
          <w:rFonts w:hint="eastAsia" w:ascii="Times New Roman" w:hAnsi="Times New Roman" w:eastAsia="仿宋_GB2312" w:cs="Times New Roman"/>
          <w:color w:val="auto"/>
          <w:spacing w:val="0"/>
          <w:sz w:val="32"/>
          <w:szCs w:val="32"/>
          <w:lang w:eastAsia="zh-CN"/>
        </w:rPr>
        <w:t>区</w:t>
      </w:r>
      <w:r>
        <w:rPr>
          <w:rFonts w:hint="eastAsia" w:ascii="Times New Roman" w:hAnsi="Times New Roman" w:eastAsia="仿宋_GB2312" w:cs="Times New Roman"/>
          <w:color w:val="auto"/>
          <w:spacing w:val="0"/>
          <w:sz w:val="32"/>
          <w:szCs w:val="32"/>
        </w:rPr>
        <w:t>财政高质量发展</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现</w:t>
      </w:r>
      <w:r>
        <w:rPr>
          <w:rFonts w:hint="eastAsia" w:ascii="Times New Roman" w:hAnsi="Times New Roman" w:eastAsia="仿宋_GB2312" w:cs="Times New Roman"/>
          <w:color w:val="auto"/>
          <w:spacing w:val="0"/>
          <w:sz w:val="32"/>
          <w:szCs w:val="32"/>
          <w:lang w:eastAsia="zh-CN"/>
        </w:rPr>
        <w:t>将</w:t>
      </w:r>
      <w:r>
        <w:rPr>
          <w:rFonts w:hint="eastAsia" w:ascii="Times New Roman" w:hAnsi="Times New Roman" w:eastAsia="仿宋_GB2312" w:cs="Times New Roman"/>
          <w:color w:val="auto"/>
          <w:spacing w:val="0"/>
          <w:sz w:val="32"/>
          <w:szCs w:val="32"/>
          <w:lang w:val="en-US" w:eastAsia="zh-CN"/>
        </w:rPr>
        <w:t>2023年</w:t>
      </w:r>
      <w:r>
        <w:rPr>
          <w:rFonts w:hint="eastAsia" w:eastAsia="仿宋_GB2312" w:cs="Times New Roman"/>
          <w:color w:val="auto"/>
          <w:spacing w:val="0"/>
          <w:sz w:val="32"/>
          <w:szCs w:val="32"/>
          <w:lang w:val="en-US" w:eastAsia="zh-CN"/>
        </w:rPr>
        <w:t>渌口区财政局</w:t>
      </w:r>
      <w:r>
        <w:rPr>
          <w:rFonts w:hint="eastAsia" w:ascii="Times New Roman" w:hAnsi="Times New Roman" w:eastAsia="仿宋_GB2312" w:cs="Times New Roman"/>
          <w:color w:val="auto"/>
          <w:spacing w:val="0"/>
          <w:sz w:val="32"/>
          <w:szCs w:val="32"/>
          <w:lang w:val="en-US" w:eastAsia="zh-CN"/>
        </w:rPr>
        <w:t>绩效管理工作总结如下</w:t>
      </w:r>
      <w:r>
        <w:rPr>
          <w:rFonts w:hint="eastAsia" w:ascii="Times New Roman" w:hAnsi="Times New Roman" w:eastAsia="仿宋_GB2312" w:cs="Times New Roman"/>
          <w:color w:val="auto"/>
          <w:spacing w:val="0"/>
          <w:sz w:val="32"/>
          <w:szCs w:val="32"/>
          <w:lang w:eastAsia="zh-CN"/>
        </w:rPr>
        <w:t>：</w:t>
      </w:r>
    </w:p>
    <w:p>
      <w:pPr>
        <w:spacing w:line="560" w:lineRule="exact"/>
        <w:ind w:firstLine="640" w:firstLineChars="200"/>
        <w:rPr>
          <w:rFonts w:eastAsia="黑体"/>
          <w:sz w:val="32"/>
          <w:szCs w:val="32"/>
        </w:rPr>
      </w:pPr>
      <w:r>
        <w:rPr>
          <w:rFonts w:eastAsia="黑体"/>
          <w:sz w:val="32"/>
          <w:szCs w:val="32"/>
        </w:rPr>
        <w:t>一、工作开展情况</w:t>
      </w:r>
    </w:p>
    <w:p>
      <w:pPr>
        <w:keepNext w:val="0"/>
        <w:keepLines w:val="0"/>
        <w:widowControl/>
        <w:suppressLineNumbers w:val="0"/>
        <w:ind w:firstLine="643" w:firstLineChars="200"/>
        <w:jc w:val="left"/>
        <w:rPr>
          <w:rFonts w:hint="eastAsia" w:eastAsia="宋体"/>
          <w:lang w:val="en-US" w:eastAsia="zh-CN"/>
        </w:rPr>
      </w:pPr>
      <w:r>
        <w:rPr>
          <w:rFonts w:eastAsia="楷体"/>
          <w:b/>
          <w:bCs/>
          <w:sz w:val="32"/>
          <w:szCs w:val="32"/>
        </w:rPr>
        <w:t>（</w:t>
      </w:r>
      <w:r>
        <w:rPr>
          <w:rFonts w:hint="eastAsia" w:eastAsia="楷体"/>
          <w:b/>
          <w:bCs/>
          <w:sz w:val="32"/>
          <w:szCs w:val="32"/>
          <w:lang w:eastAsia="zh-CN"/>
        </w:rPr>
        <w:t>一</w:t>
      </w:r>
      <w:r>
        <w:rPr>
          <w:rFonts w:eastAsia="楷体"/>
          <w:b/>
          <w:bCs/>
          <w:sz w:val="32"/>
          <w:szCs w:val="32"/>
        </w:rPr>
        <w:t>）</w:t>
      </w:r>
      <w:r>
        <w:rPr>
          <w:rFonts w:hint="eastAsia" w:eastAsia="楷体"/>
          <w:b/>
          <w:bCs/>
          <w:sz w:val="32"/>
          <w:szCs w:val="32"/>
        </w:rPr>
        <w:t>狠抓</w:t>
      </w:r>
      <w:r>
        <w:rPr>
          <w:rFonts w:eastAsia="楷体"/>
          <w:b/>
          <w:bCs/>
          <w:sz w:val="32"/>
          <w:szCs w:val="32"/>
        </w:rPr>
        <w:t>绩效目标</w:t>
      </w:r>
      <w:r>
        <w:rPr>
          <w:rFonts w:hint="eastAsia" w:eastAsia="楷体"/>
          <w:b/>
          <w:bCs/>
          <w:sz w:val="32"/>
          <w:szCs w:val="32"/>
        </w:rPr>
        <w:t>审核</w:t>
      </w:r>
      <w:r>
        <w:rPr>
          <w:rFonts w:eastAsia="楷体"/>
          <w:b/>
          <w:bCs/>
          <w:sz w:val="32"/>
          <w:szCs w:val="32"/>
        </w:rPr>
        <w:t>。</w:t>
      </w:r>
      <w:r>
        <w:rPr>
          <w:rFonts w:hint="eastAsia" w:ascii="仿宋_GB2312" w:hAnsi="宋体" w:eastAsia="仿宋_GB2312"/>
          <w:sz w:val="32"/>
          <w:szCs w:val="32"/>
          <w:lang w:eastAsia="zh-CN"/>
        </w:rPr>
        <w:t>根据</w:t>
      </w:r>
      <w:r>
        <w:rPr>
          <w:rFonts w:hint="eastAsia" w:ascii="仿宋_GB2312" w:hAnsi="宋体" w:eastAsia="仿宋_GB2312"/>
          <w:sz w:val="32"/>
          <w:szCs w:val="32"/>
        </w:rPr>
        <w:t>《株洲市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区财政局关于编制202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hAnsi="宋体" w:eastAsia="仿宋_GB2312"/>
          <w:sz w:val="32"/>
          <w:szCs w:val="32"/>
          <w:lang w:eastAsia="zh-CN"/>
        </w:rPr>
        <w:t>区</w:t>
      </w:r>
      <w:r>
        <w:rPr>
          <w:rFonts w:hint="eastAsia" w:ascii="仿宋_GB2312" w:hAnsi="宋体" w:eastAsia="仿宋_GB2312"/>
          <w:sz w:val="32"/>
          <w:szCs w:val="32"/>
        </w:rPr>
        <w:t>本级部门预算的通知》</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【2022】22号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w:t>
      </w:r>
      <w:r>
        <w:rPr>
          <w:rFonts w:hint="eastAsia" w:ascii="仿宋_GB2312" w:hAnsi="宋体" w:eastAsia="仿宋_GB2312"/>
          <w:sz w:val="32"/>
          <w:szCs w:val="32"/>
        </w:rPr>
        <w:t>进一步规范资金绩效管理，科学设置各类资金项目定量和定性相结合、可比较可考核的绩效目标，确保资金投入与绩效产出结果相匹配、相适应。绩效目标审核未通过的，一律不予安排支出。202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年已批复我区</w:t>
      </w:r>
      <w:r>
        <w:rPr>
          <w:rFonts w:hint="eastAsia" w:ascii="仿宋_GB2312" w:hAnsi="宋体" w:eastAsia="仿宋_GB2312"/>
          <w:sz w:val="32"/>
          <w:szCs w:val="32"/>
          <w:lang w:val="en-US" w:eastAsia="zh-CN"/>
        </w:rPr>
        <w:t>91</w:t>
      </w:r>
      <w:r>
        <w:rPr>
          <w:rFonts w:hint="eastAsia" w:ascii="仿宋_GB2312" w:hAnsi="宋体" w:eastAsia="仿宋_GB2312"/>
          <w:sz w:val="32"/>
          <w:szCs w:val="32"/>
        </w:rPr>
        <w:t>家预算单位的绩效目标，已按要求全部公开。</w:t>
      </w:r>
    </w:p>
    <w:p>
      <w:pPr>
        <w:spacing w:line="560" w:lineRule="exact"/>
        <w:ind w:firstLine="643" w:firstLineChars="200"/>
        <w:rPr>
          <w:rFonts w:hint="eastAsia" w:ascii="仿宋_GB2312" w:hAnsi="宋体" w:eastAsia="仿宋_GB2312"/>
          <w:sz w:val="32"/>
          <w:szCs w:val="32"/>
        </w:rPr>
      </w:pPr>
      <w:r>
        <w:rPr>
          <w:rFonts w:eastAsia="楷体"/>
          <w:b/>
          <w:bCs/>
          <w:sz w:val="32"/>
          <w:szCs w:val="32"/>
        </w:rPr>
        <w:t>（</w:t>
      </w:r>
      <w:r>
        <w:rPr>
          <w:rFonts w:hint="eastAsia" w:eastAsia="楷体"/>
          <w:b/>
          <w:bCs/>
          <w:sz w:val="32"/>
          <w:szCs w:val="32"/>
          <w:lang w:eastAsia="zh-CN"/>
        </w:rPr>
        <w:t>二</w:t>
      </w:r>
      <w:r>
        <w:rPr>
          <w:rFonts w:eastAsia="楷体"/>
          <w:b/>
          <w:bCs/>
          <w:sz w:val="32"/>
          <w:szCs w:val="32"/>
        </w:rPr>
        <w:t>）</w:t>
      </w:r>
      <w:r>
        <w:rPr>
          <w:rFonts w:hint="eastAsia" w:eastAsia="楷体"/>
          <w:b/>
          <w:bCs/>
          <w:sz w:val="32"/>
          <w:szCs w:val="32"/>
        </w:rPr>
        <w:t>强化</w:t>
      </w:r>
      <w:r>
        <w:rPr>
          <w:rFonts w:eastAsia="楷体"/>
          <w:b/>
          <w:bCs/>
          <w:sz w:val="32"/>
          <w:szCs w:val="32"/>
        </w:rPr>
        <w:t>绩效评价</w:t>
      </w:r>
      <w:r>
        <w:rPr>
          <w:rFonts w:hint="eastAsia" w:eastAsia="楷体"/>
          <w:b/>
          <w:bCs/>
          <w:sz w:val="32"/>
          <w:szCs w:val="32"/>
        </w:rPr>
        <w:t>责任</w:t>
      </w:r>
      <w:r>
        <w:rPr>
          <w:rFonts w:eastAsia="楷体"/>
          <w:b/>
          <w:bCs/>
          <w:sz w:val="32"/>
          <w:szCs w:val="32"/>
        </w:rPr>
        <w:t>。</w:t>
      </w:r>
      <w:r>
        <w:rPr>
          <w:rFonts w:hint="eastAsia" w:ascii="仿宋_GB2312" w:hAnsi="宋体" w:eastAsia="仿宋_GB2312"/>
          <w:sz w:val="32"/>
          <w:szCs w:val="32"/>
        </w:rPr>
        <w:t>根据《株洲市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w:t>
      </w:r>
      <w:r>
        <w:rPr>
          <w:rFonts w:hint="eastAsia" w:ascii="仿宋_GB2312" w:hAnsi="宋体" w:eastAsia="仿宋_GB2312"/>
          <w:sz w:val="32"/>
          <w:szCs w:val="32"/>
          <w:lang w:eastAsia="zh-CN"/>
        </w:rPr>
        <w:t>做好</w:t>
      </w:r>
      <w:r>
        <w:rPr>
          <w:rFonts w:hint="eastAsia" w:ascii="仿宋_GB2312" w:hAnsi="宋体" w:eastAsia="仿宋_GB2312"/>
          <w:sz w:val="32"/>
          <w:szCs w:val="32"/>
          <w:lang w:val="en-US" w:eastAsia="zh-CN"/>
        </w:rPr>
        <w:t>2022年度区本级财政资金及政府专项债券资金绩效自评工作的通知</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【2023】6号</w:t>
      </w:r>
      <w:r>
        <w:rPr>
          <w:rFonts w:hint="eastAsia" w:ascii="仿宋_GB2312" w:hAnsi="宋体" w:eastAsia="仿宋_GB2312" w:cs="Times New Roman"/>
          <w:sz w:val="32"/>
          <w:szCs w:val="32"/>
          <w:lang w:eastAsia="zh-CN"/>
        </w:rPr>
        <w:t>）</w:t>
      </w:r>
      <w:r>
        <w:rPr>
          <w:rFonts w:hint="eastAsia" w:ascii="仿宋_GB2312" w:hAnsi="宋体" w:eastAsia="仿宋_GB2312"/>
          <w:sz w:val="32"/>
          <w:szCs w:val="32"/>
        </w:rPr>
        <w:t>，</w:t>
      </w:r>
      <w:r>
        <w:rPr>
          <w:rFonts w:hint="eastAsia" w:ascii="仿宋_GB2312" w:hAnsi="宋体" w:eastAsia="仿宋_GB2312"/>
          <w:sz w:val="32"/>
          <w:szCs w:val="32"/>
          <w:lang w:eastAsia="zh-CN"/>
        </w:rPr>
        <w:t>积极</w:t>
      </w:r>
      <w:r>
        <w:rPr>
          <w:rFonts w:hint="eastAsia" w:ascii="仿宋_GB2312" w:hAnsi="宋体" w:eastAsia="仿宋_GB2312"/>
          <w:sz w:val="32"/>
          <w:szCs w:val="32"/>
        </w:rPr>
        <w:t>开展</w:t>
      </w:r>
      <w:r>
        <w:rPr>
          <w:rFonts w:hint="eastAsia" w:ascii="仿宋_GB2312" w:hAnsi="宋体" w:eastAsia="仿宋_GB2312"/>
          <w:sz w:val="32"/>
          <w:szCs w:val="32"/>
          <w:lang w:eastAsia="zh-CN"/>
        </w:rPr>
        <w:t>并</w:t>
      </w:r>
      <w:r>
        <w:rPr>
          <w:rFonts w:hint="eastAsia" w:ascii="仿宋_GB2312" w:hAnsi="宋体" w:eastAsia="仿宋_GB2312"/>
          <w:sz w:val="32"/>
          <w:szCs w:val="32"/>
        </w:rPr>
        <w:t>完成202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年度部门绩效自评</w:t>
      </w:r>
      <w:r>
        <w:rPr>
          <w:rFonts w:hint="eastAsia" w:ascii="仿宋_GB2312" w:hAnsi="宋体" w:eastAsia="仿宋_GB2312"/>
          <w:sz w:val="32"/>
          <w:szCs w:val="32"/>
          <w:lang w:eastAsia="zh-CN"/>
        </w:rPr>
        <w:t>及政府专项债券资金绩效自评</w:t>
      </w:r>
      <w:r>
        <w:rPr>
          <w:rFonts w:hint="eastAsia" w:ascii="仿宋_GB2312" w:hAnsi="宋体" w:eastAsia="仿宋_GB2312"/>
          <w:sz w:val="32"/>
          <w:szCs w:val="32"/>
        </w:rPr>
        <w:t>工作，对于不符合要求的自评情况，财政及时退回单位，指导修改、反复沟通，</w:t>
      </w:r>
      <w:r>
        <w:rPr>
          <w:rFonts w:hint="eastAsia" w:ascii="仿宋_GB2312" w:hAnsi="宋体" w:eastAsia="仿宋_GB2312"/>
          <w:sz w:val="32"/>
          <w:szCs w:val="32"/>
          <w:lang w:eastAsia="zh-CN"/>
        </w:rPr>
        <w:t>所有预算单位均已完成绩效自评及公开工作</w:t>
      </w:r>
      <w:r>
        <w:rPr>
          <w:rFonts w:hint="eastAsia" w:ascii="仿宋_GB2312" w:hAnsi="宋体" w:eastAsia="仿宋_GB2312"/>
          <w:sz w:val="32"/>
          <w:szCs w:val="32"/>
        </w:rPr>
        <w:t>。</w:t>
      </w:r>
    </w:p>
    <w:p>
      <w:pPr>
        <w:spacing w:line="560" w:lineRule="exact"/>
        <w:ind w:firstLine="643" w:firstLineChars="200"/>
        <w:rPr>
          <w:rFonts w:hint="eastAsia" w:eastAsia="仿宋_GB2312"/>
          <w:sz w:val="32"/>
          <w:szCs w:val="32"/>
          <w:lang w:eastAsia="zh-CN"/>
        </w:rPr>
      </w:pPr>
      <w:r>
        <w:rPr>
          <w:rFonts w:hint="eastAsia" w:ascii="Times New Roman" w:hAnsi="Times New Roman" w:eastAsia="楷体" w:cs="Times New Roman"/>
          <w:b/>
          <w:bCs/>
          <w:sz w:val="32"/>
          <w:szCs w:val="32"/>
          <w:lang w:eastAsia="zh-CN"/>
        </w:rPr>
        <w:t>（三）</w:t>
      </w:r>
      <w:r>
        <w:rPr>
          <w:rFonts w:ascii="Times New Roman" w:hAnsi="Times New Roman" w:eastAsia="楷体" w:cs="Times New Roman"/>
          <w:b/>
          <w:bCs/>
          <w:sz w:val="32"/>
          <w:szCs w:val="32"/>
        </w:rPr>
        <w:t>加强预算支出绩效运行监控管理</w:t>
      </w:r>
      <w:r>
        <w:rPr>
          <w:rFonts w:hint="eastAsia" w:ascii="Times New Roman" w:hAnsi="Times New Roman" w:eastAsia="楷体" w:cs="Times New Roman"/>
          <w:b/>
          <w:bCs/>
          <w:sz w:val="32"/>
          <w:szCs w:val="32"/>
          <w:lang w:eastAsia="zh-CN"/>
        </w:rPr>
        <w:t>。</w:t>
      </w:r>
      <w:r>
        <w:rPr>
          <w:rFonts w:hint="eastAsia" w:ascii="仿宋_GB2312" w:hAnsi="宋体" w:eastAsia="仿宋_GB2312" w:cs="Times New Roman"/>
          <w:sz w:val="32"/>
          <w:szCs w:val="32"/>
          <w:lang w:eastAsia="zh-CN"/>
        </w:rPr>
        <w:t>根据《渌口区财政局关于开展2023年1-8月预算支出部门绩效运行监控工作的通知》</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【2023】20号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组织部门对</w:t>
      </w:r>
      <w:r>
        <w:rPr>
          <w:rFonts w:hint="eastAsia" w:ascii="仿宋_GB2312" w:hAnsi="宋体" w:eastAsia="仿宋_GB2312" w:cs="Times New Roman"/>
          <w:sz w:val="32"/>
          <w:szCs w:val="32"/>
        </w:rPr>
        <w:t>2023年1至8月一般公共预算、政府性基金预算和国有资本经营预算安排的所有项目支出</w:t>
      </w:r>
      <w:r>
        <w:rPr>
          <w:rFonts w:hint="eastAsia" w:ascii="仿宋_GB2312" w:hAnsi="宋体" w:eastAsia="仿宋_GB2312" w:cs="Times New Roman"/>
          <w:sz w:val="32"/>
          <w:szCs w:val="32"/>
          <w:lang w:eastAsia="zh-CN"/>
        </w:rPr>
        <w:t>进行绩效监控</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绩效监控</w:t>
      </w:r>
      <w:r>
        <w:rPr>
          <w:rFonts w:eastAsia="仿宋_GB2312"/>
          <w:sz w:val="32"/>
          <w:szCs w:val="32"/>
        </w:rPr>
        <w:t>主要从有效性、及时性和合规性等方面开展</w:t>
      </w:r>
      <w:r>
        <w:rPr>
          <w:rFonts w:hint="eastAsia" w:eastAsia="仿宋_GB2312"/>
          <w:sz w:val="32"/>
          <w:szCs w:val="32"/>
          <w:lang w:eastAsia="zh-CN"/>
        </w:rPr>
        <w:t>，具体包括绩效目标实现程度；预算资金执行进度；重点政策和重大项目绩效延伸监控和其他需要实施绩效监控的情况等。同时组织开展财政重点监控，选取公安局“平安城市”视频监控运行维护项目、环境卫生服务中心华新水泥垃圾处置费项目、卫生健康局 基本公卫项目和信访局特护期维稳项目四个项目开展财政重点监控。</w:t>
      </w:r>
    </w:p>
    <w:p>
      <w:pPr>
        <w:spacing w:line="560" w:lineRule="exact"/>
        <w:ind w:firstLine="643" w:firstLineChars="200"/>
        <w:rPr>
          <w:rFonts w:hint="eastAsia" w:ascii="仿宋_GB2312" w:hAnsi="宋体" w:eastAsia="仿宋_GB2312"/>
          <w:sz w:val="32"/>
          <w:szCs w:val="32"/>
        </w:rPr>
      </w:pPr>
      <w:r>
        <w:rPr>
          <w:rFonts w:hint="eastAsia" w:ascii="Times New Roman" w:hAnsi="Times New Roman" w:eastAsia="楷体" w:cs="Times New Roman"/>
          <w:b/>
          <w:bCs/>
          <w:sz w:val="32"/>
          <w:szCs w:val="32"/>
          <w:lang w:eastAsia="zh-CN"/>
        </w:rPr>
        <w:t>（四）</w:t>
      </w:r>
      <w:r>
        <w:rPr>
          <w:rFonts w:hint="eastAsia" w:eastAsia="楷体" w:cs="Times New Roman"/>
          <w:b/>
          <w:bCs/>
          <w:sz w:val="32"/>
          <w:szCs w:val="32"/>
          <w:lang w:eastAsia="zh-CN"/>
        </w:rPr>
        <w:t>认真做好</w:t>
      </w:r>
      <w:r>
        <w:rPr>
          <w:rFonts w:hint="eastAsia" w:ascii="Times New Roman" w:hAnsi="Times New Roman" w:eastAsia="楷体" w:cs="Times New Roman"/>
          <w:b/>
          <w:bCs/>
          <w:sz w:val="32"/>
          <w:szCs w:val="32"/>
          <w:lang w:eastAsia="zh-CN"/>
        </w:rPr>
        <w:t>财政绩效评价</w:t>
      </w:r>
      <w:r>
        <w:rPr>
          <w:rFonts w:hint="eastAsia" w:eastAsia="楷体" w:cs="Times New Roman"/>
          <w:b/>
          <w:bCs/>
          <w:sz w:val="32"/>
          <w:szCs w:val="32"/>
          <w:lang w:eastAsia="zh-CN"/>
        </w:rPr>
        <w:t>。</w:t>
      </w:r>
      <w:r>
        <w:rPr>
          <w:rFonts w:hint="eastAsia" w:ascii="仿宋_GB2312" w:hAnsi="宋体" w:eastAsia="仿宋_GB2312"/>
          <w:sz w:val="32"/>
          <w:szCs w:val="32"/>
        </w:rPr>
        <w:t>根据《株洲市</w:t>
      </w:r>
      <w:r>
        <w:rPr>
          <w:rFonts w:hint="eastAsia" w:ascii="仿宋_GB2312" w:hAnsi="宋体" w:eastAsia="仿宋_GB2312"/>
          <w:sz w:val="32"/>
          <w:szCs w:val="32"/>
          <w:lang w:eastAsia="zh-CN"/>
        </w:rPr>
        <w:t>渌口</w:t>
      </w:r>
      <w:r>
        <w:rPr>
          <w:rFonts w:hint="eastAsia" w:ascii="仿宋_GB2312" w:hAnsi="宋体" w:eastAsia="仿宋_GB2312"/>
          <w:sz w:val="32"/>
          <w:szCs w:val="32"/>
        </w:rPr>
        <w:t>区财政局关于</w:t>
      </w:r>
      <w:r>
        <w:rPr>
          <w:rFonts w:hint="eastAsia" w:ascii="仿宋_GB2312" w:hAnsi="宋体" w:eastAsia="仿宋_GB2312"/>
          <w:sz w:val="32"/>
          <w:szCs w:val="32"/>
          <w:lang w:eastAsia="zh-CN"/>
        </w:rPr>
        <w:t>开展</w:t>
      </w:r>
      <w:r>
        <w:rPr>
          <w:rFonts w:hint="eastAsia" w:ascii="仿宋_GB2312" w:hAnsi="宋体" w:eastAsia="仿宋_GB2312"/>
          <w:sz w:val="32"/>
          <w:szCs w:val="32"/>
          <w:lang w:val="en-US" w:eastAsia="zh-CN"/>
        </w:rPr>
        <w:t>2023年度财政绩效评价工作的通知</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cs="Times New Roman"/>
          <w:sz w:val="32"/>
          <w:szCs w:val="32"/>
          <w:lang w:eastAsia="zh-CN"/>
        </w:rPr>
        <w:t>渌财通</w:t>
      </w:r>
      <w:r>
        <w:rPr>
          <w:rFonts w:hint="eastAsia" w:ascii="仿宋_GB2312" w:hAnsi="宋体" w:eastAsia="仿宋_GB2312" w:cs="Times New Roman"/>
          <w:sz w:val="32"/>
          <w:szCs w:val="32"/>
          <w:lang w:val="en-US" w:eastAsia="zh-CN"/>
        </w:rPr>
        <w:t>【2023】23号</w:t>
      </w:r>
      <w:r>
        <w:rPr>
          <w:rFonts w:hint="eastAsia" w:ascii="仿宋_GB2312" w:hAnsi="宋体" w:eastAsia="仿宋_GB2312" w:cs="Times New Roman"/>
          <w:sz w:val="32"/>
          <w:szCs w:val="32"/>
          <w:lang w:eastAsia="zh-CN"/>
        </w:rPr>
        <w:t>），</w:t>
      </w:r>
      <w:r>
        <w:rPr>
          <w:rFonts w:hint="eastAsia" w:ascii="仿宋_GB2312" w:hAnsi="宋体" w:eastAsia="仿宋_GB2312"/>
          <w:sz w:val="32"/>
          <w:szCs w:val="32"/>
        </w:rPr>
        <w:t>委托第三方中介机构对我区202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w:t>
      </w:r>
      <w:r>
        <w:rPr>
          <w:rFonts w:hint="eastAsia" w:ascii="仿宋_GB2312" w:hAnsi="宋体" w:eastAsia="仿宋_GB2312"/>
          <w:sz w:val="32"/>
          <w:szCs w:val="32"/>
          <w:lang w:eastAsia="zh-CN"/>
        </w:rPr>
        <w:t>农村公路安防项目、路灯维护项目、生活垃圾收集和压缩、养老机构运营补贴和公办养老院运转经费项目、农产品抽检专项</w:t>
      </w:r>
      <w:r>
        <w:rPr>
          <w:rFonts w:hint="eastAsia" w:ascii="仿宋_GB2312" w:hAnsi="宋体" w:eastAsia="仿宋_GB2312"/>
          <w:sz w:val="32"/>
          <w:szCs w:val="32"/>
        </w:rPr>
        <w:t>等</w:t>
      </w:r>
      <w:r>
        <w:rPr>
          <w:rFonts w:hint="eastAsia" w:ascii="仿宋_GB2312" w:hAnsi="宋体" w:eastAsia="仿宋_GB2312"/>
          <w:sz w:val="32"/>
          <w:szCs w:val="32"/>
          <w:lang w:val="en-US" w:eastAsia="zh-CN"/>
        </w:rPr>
        <w:t>13个</w:t>
      </w:r>
      <w:r>
        <w:rPr>
          <w:rFonts w:hint="eastAsia" w:ascii="仿宋_GB2312" w:hAnsi="宋体" w:eastAsia="仿宋_GB2312"/>
          <w:sz w:val="32"/>
          <w:szCs w:val="32"/>
        </w:rPr>
        <w:t>重点专项资金项目</w:t>
      </w:r>
      <w:r>
        <w:rPr>
          <w:rFonts w:hint="eastAsia" w:ascii="仿宋_GB2312" w:hAnsi="宋体" w:eastAsia="仿宋_GB2312"/>
          <w:sz w:val="32"/>
          <w:szCs w:val="32"/>
          <w:lang w:eastAsia="zh-CN"/>
        </w:rPr>
        <w:t>和整体项目</w:t>
      </w:r>
      <w:r>
        <w:rPr>
          <w:rFonts w:hint="eastAsia" w:ascii="仿宋_GB2312" w:hAnsi="宋体" w:eastAsia="仿宋_GB2312"/>
          <w:sz w:val="32"/>
          <w:szCs w:val="32"/>
        </w:rPr>
        <w:t>进行现场绩效评价，进一步评估专项资金使用效益</w:t>
      </w:r>
      <w:r>
        <w:rPr>
          <w:rFonts w:hint="eastAsia" w:ascii="仿宋_GB2312" w:hAnsi="宋体" w:eastAsia="仿宋_GB2312"/>
          <w:sz w:val="32"/>
          <w:szCs w:val="32"/>
          <w:lang w:eastAsia="zh-CN"/>
        </w:rPr>
        <w:t>，强化绩效管理</w:t>
      </w:r>
      <w:r>
        <w:rPr>
          <w:rFonts w:hint="eastAsia" w:ascii="仿宋_GB2312" w:hAnsi="宋体" w:eastAsia="仿宋_GB2312"/>
          <w:sz w:val="32"/>
          <w:szCs w:val="32"/>
        </w:rPr>
        <w:t>。</w:t>
      </w:r>
    </w:p>
    <w:p>
      <w:pPr>
        <w:pStyle w:val="11"/>
        <w:spacing w:line="560" w:lineRule="exact"/>
        <w:ind w:firstLine="643" w:firstLineChars="200"/>
        <w:rPr>
          <w:rFonts w:hint="default"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五</w:t>
      </w:r>
      <w:r>
        <w:rPr>
          <w:rFonts w:eastAsia="楷体"/>
          <w:b/>
          <w:bCs/>
          <w:sz w:val="32"/>
          <w:szCs w:val="32"/>
        </w:rPr>
        <w:t>）</w:t>
      </w:r>
      <w:r>
        <w:rPr>
          <w:rFonts w:hint="eastAsia" w:eastAsia="楷体"/>
          <w:b/>
          <w:bCs/>
          <w:sz w:val="32"/>
          <w:szCs w:val="32"/>
        </w:rPr>
        <w:t>积极开展绩效培训</w:t>
      </w:r>
      <w:r>
        <w:rPr>
          <w:rFonts w:eastAsia="楷体"/>
          <w:b/>
          <w:bCs/>
          <w:sz w:val="32"/>
          <w:szCs w:val="32"/>
        </w:rPr>
        <w:t>。</w:t>
      </w:r>
      <w:r>
        <w:rPr>
          <w:rFonts w:hint="eastAsia" w:ascii="仿宋_GB2312" w:hAnsi="宋体" w:eastAsia="仿宋_GB2312" w:cs="Times New Roman"/>
          <w:kern w:val="2"/>
          <w:sz w:val="32"/>
          <w:szCs w:val="32"/>
          <w:lang w:val="en-US" w:eastAsia="zh-CN" w:bidi="ar-SA"/>
        </w:rPr>
        <w:t>组织开展预算绩效管理业务培训，重点对预算绩效目标编制进行培训。全区各预算单位财务人员主动参与并积极互动，培训取得良好效果，进一步提高了我区预算绩效管理队伍素质，健全预算绩效管理机制。同时，我局选派绩效管理业务人员分别于5月参加省财政厅组织开展的2023年全省预算绩效管理业务培训班和10月参加市财政局组织的2023年全市预算绩效管理暨预算管理一体化系统绩效管理板块上线业务培训班，进一步提升我局绩效管理的专业水平。我区于2023年11月组织召开2023年预算绩效管理暨预算管理一体化系统绩效管理板块上线业务培训会，全区各预算单位财务、局属各业务股室100多人参加培训。</w:t>
      </w:r>
    </w:p>
    <w:p>
      <w:pPr>
        <w:spacing w:line="560" w:lineRule="exact"/>
        <w:ind w:firstLine="640" w:firstLineChars="200"/>
        <w:rPr>
          <w:rFonts w:eastAsia="黑体"/>
          <w:sz w:val="32"/>
          <w:szCs w:val="32"/>
        </w:rPr>
      </w:pPr>
      <w:r>
        <w:rPr>
          <w:rFonts w:eastAsia="黑体"/>
          <w:sz w:val="32"/>
          <w:szCs w:val="32"/>
        </w:rPr>
        <w:t>二、存在的主要问题</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（一）事前绩效评估环节薄弱。</w:t>
      </w:r>
      <w:r>
        <w:rPr>
          <w:rFonts w:hint="eastAsia" w:ascii="仿宋_GB2312" w:hAnsi="宋体" w:eastAsia="仿宋_GB2312" w:cs="Times New Roman"/>
          <w:kern w:val="2"/>
          <w:sz w:val="32"/>
          <w:szCs w:val="32"/>
          <w:lang w:val="en-US" w:eastAsia="zh-CN" w:bidi="ar-SA"/>
        </w:rPr>
        <w:t>事前绩效评估是指运用科学、合理的评估方法对拟新增的重大政策和项目设立必要性、投入经济性、绩效目标合理性、实施方案可行性等进行客观公正的评估。目前专项债券项目事前绩效评估开展的较好，其他新增重大政策和项目开展的较少，事前绩效评估环节薄弱。要把事前绩效评估做为科学决策的有力抓手，建立新增重大政策和项目事前绩效评估常态化机制。</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（二）绩效目标管理监管有待加强。</w:t>
      </w:r>
      <w:r>
        <w:rPr>
          <w:rFonts w:hint="eastAsia" w:ascii="仿宋_GB2312" w:hAnsi="宋体" w:eastAsia="仿宋_GB2312" w:cs="Times New Roman"/>
          <w:kern w:val="2"/>
          <w:sz w:val="32"/>
          <w:szCs w:val="32"/>
          <w:lang w:val="en-US" w:eastAsia="zh-CN" w:bidi="ar-SA"/>
        </w:rPr>
        <w:t>我区尚未建立绩效指标库，绩效目标环节存诸多共性问题，比如指标不明确，满意度指标笼统不具体，缺少效益指标的问题；指标不可衡量，定量指标过少，定性指标不可衡量，数据不可获得的问题；指标不可行不合理，指标值设置过高或者过低的问题；匹配性较差，有些指标的设置与项目的关联性不高，指标与项目资金不匹配的问题等。绩效目标监管亟待加强。</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hint="eastAsia" w:ascii="Times New Roman" w:hAnsi="Times New Roman" w:eastAsia="方正仿宋_GBK" w:cs="Times New Roman"/>
          <w:b/>
          <w:bCs/>
          <w:sz w:val="32"/>
          <w:szCs w:val="32"/>
          <w:lang w:val="en-US" w:eastAsia="zh-CN"/>
        </w:rPr>
        <w:t>（三）绩效信息公开不够健全。</w:t>
      </w:r>
      <w:r>
        <w:rPr>
          <w:rFonts w:hint="eastAsia" w:ascii="仿宋_GB2312" w:hAnsi="宋体" w:eastAsia="仿宋_GB2312" w:cs="Times New Roman"/>
          <w:kern w:val="2"/>
          <w:sz w:val="32"/>
          <w:szCs w:val="32"/>
          <w:lang w:val="en-US" w:eastAsia="zh-CN" w:bidi="ar-SA"/>
        </w:rPr>
        <w:t>绩效目标和绩效评价（除涉密信息外）都应按规定及时全面的在政府门户网站进行公开。我区绩效目标与部门预算同步公开，绩效自评与部门决算同步公开。我们在公开过程存在不少问题，如有预算单位在公开的附件表格中存在有空表的现象；有预算单位公开的表格中存在部门整体支出目标表中的项目支出金额和项目目标表中的支出金额不一致的逻辑问题；有预算单位存在公开的项目绩效目标表的项目数少于年初预算数，公开不全面的问题；有的预算单位绩效信息公开的时间不符合规定要求。我们应进一步提高认识，重视绩效信息公开工作，对公开的信息加强把关，提高信息公开的准确性、全面性和及时性。</w:t>
      </w:r>
    </w:p>
    <w:p>
      <w:pPr>
        <w:spacing w:line="560" w:lineRule="exact"/>
        <w:ind w:firstLine="640" w:firstLineChars="200"/>
        <w:rPr>
          <w:rFonts w:hint="eastAsia" w:eastAsia="黑体"/>
          <w:sz w:val="32"/>
          <w:szCs w:val="32"/>
          <w:lang w:eastAsia="zh-CN"/>
        </w:rPr>
      </w:pPr>
      <w:r>
        <w:rPr>
          <w:rFonts w:eastAsia="黑体"/>
          <w:sz w:val="32"/>
          <w:szCs w:val="32"/>
        </w:rPr>
        <w:t>三、</w:t>
      </w:r>
      <w:r>
        <w:rPr>
          <w:rFonts w:hint="eastAsia" w:eastAsia="黑体"/>
          <w:sz w:val="32"/>
          <w:szCs w:val="32"/>
          <w:lang w:val="en-US" w:eastAsia="zh-CN"/>
        </w:rPr>
        <w:t>2024年</w:t>
      </w:r>
      <w:r>
        <w:rPr>
          <w:rFonts w:eastAsia="黑体"/>
          <w:sz w:val="32"/>
          <w:szCs w:val="32"/>
        </w:rPr>
        <w:t>工作</w:t>
      </w:r>
      <w:r>
        <w:rPr>
          <w:rFonts w:hint="eastAsia" w:eastAsia="黑体"/>
          <w:sz w:val="32"/>
          <w:szCs w:val="32"/>
          <w:lang w:eastAsia="zh-CN"/>
        </w:rPr>
        <w:t>计划</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一</w:t>
      </w:r>
      <w:r>
        <w:rPr>
          <w:rFonts w:eastAsia="楷体"/>
          <w:b/>
          <w:bCs/>
          <w:sz w:val="32"/>
          <w:szCs w:val="32"/>
        </w:rPr>
        <w:t>）</w:t>
      </w:r>
      <w:r>
        <w:rPr>
          <w:rFonts w:hint="eastAsia" w:eastAsia="楷体"/>
          <w:b/>
          <w:bCs/>
          <w:sz w:val="32"/>
          <w:szCs w:val="32"/>
          <w:lang w:eastAsia="zh-CN"/>
        </w:rPr>
        <w:t>重视</w:t>
      </w:r>
      <w:r>
        <w:rPr>
          <w:rFonts w:hint="eastAsia" w:eastAsia="楷体"/>
          <w:b/>
          <w:bCs/>
          <w:sz w:val="32"/>
          <w:szCs w:val="32"/>
        </w:rPr>
        <w:t>目标申报。</w:t>
      </w:r>
      <w:r>
        <w:rPr>
          <w:rFonts w:hint="eastAsia" w:ascii="仿宋_GB2312" w:hAnsi="宋体" w:eastAsia="仿宋_GB2312" w:cs="Times New Roman"/>
          <w:kern w:val="2"/>
          <w:sz w:val="32"/>
          <w:szCs w:val="32"/>
          <w:lang w:val="en-US" w:eastAsia="zh-CN" w:bidi="ar-SA"/>
        </w:rPr>
        <w:t>持续严格把关绩效目标申报工作，对预算绩效目标编制不符合要求的，坚决予以退回，积极指导和督促修改，通过绩效目标申报和专项指标的设立，引导各单位资金规范使用，优化财政资金的使用效率，为领导科学决策和外部有效监督提供重要参考依据。</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hint="eastAsia" w:eastAsia="楷体"/>
          <w:b/>
          <w:bCs/>
          <w:sz w:val="32"/>
          <w:szCs w:val="32"/>
        </w:rPr>
        <w:t>（</w:t>
      </w:r>
      <w:r>
        <w:rPr>
          <w:rFonts w:hint="eastAsia" w:eastAsia="楷体"/>
          <w:b/>
          <w:bCs/>
          <w:sz w:val="32"/>
          <w:szCs w:val="32"/>
          <w:lang w:eastAsia="zh-CN"/>
        </w:rPr>
        <w:t>二</w:t>
      </w:r>
      <w:r>
        <w:rPr>
          <w:rFonts w:hint="eastAsia" w:eastAsia="楷体"/>
          <w:b/>
          <w:bCs/>
          <w:sz w:val="32"/>
          <w:szCs w:val="32"/>
        </w:rPr>
        <w:t>）紧跟预算</w:t>
      </w:r>
      <w:r>
        <w:rPr>
          <w:rFonts w:hint="eastAsia" w:eastAsia="楷体"/>
          <w:b/>
          <w:bCs/>
          <w:sz w:val="32"/>
          <w:szCs w:val="32"/>
          <w:lang w:eastAsia="zh-CN"/>
        </w:rPr>
        <w:t>收支</w:t>
      </w:r>
      <w:r>
        <w:rPr>
          <w:rFonts w:hint="eastAsia" w:eastAsia="楷体"/>
          <w:b/>
          <w:bCs/>
          <w:sz w:val="32"/>
          <w:szCs w:val="32"/>
        </w:rPr>
        <w:t>。</w:t>
      </w:r>
      <w:r>
        <w:rPr>
          <w:rFonts w:hint="eastAsia" w:ascii="仿宋_GB2312" w:hAnsi="宋体" w:eastAsia="仿宋_GB2312" w:cs="Times New Roman"/>
          <w:kern w:val="2"/>
          <w:sz w:val="32"/>
          <w:szCs w:val="32"/>
          <w:lang w:val="en-US" w:eastAsia="zh-CN" w:bidi="ar-SA"/>
        </w:rPr>
        <w:t>建立绩效运行动态监控机制，紧跟预算绩效资金执行情况，把绩效管理工作融入到各业务股室日常工作中，及时掌握项目实施进程、预算执行进度和绩效目标完成情况，及时纠正项目绩效运行与期望绩效目标的偏差，促进绩效目标的实现。对预期无绩效、低绩效的项目，要停止执行或调整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宋体" w:eastAsia="仿宋_GB2312" w:cs="Times New Roman"/>
          <w:kern w:val="2"/>
          <w:sz w:val="32"/>
          <w:szCs w:val="32"/>
          <w:lang w:val="en-US" w:eastAsia="zh-CN" w:bidi="ar-SA"/>
        </w:rPr>
      </w:pPr>
      <w:r>
        <w:rPr>
          <w:rFonts w:hint="eastAsia" w:eastAsia="楷体"/>
          <w:b/>
          <w:bCs/>
          <w:sz w:val="32"/>
          <w:szCs w:val="32"/>
        </w:rPr>
        <w:t>（</w:t>
      </w:r>
      <w:r>
        <w:rPr>
          <w:rFonts w:hint="eastAsia" w:eastAsia="楷体"/>
          <w:b/>
          <w:bCs/>
          <w:sz w:val="32"/>
          <w:szCs w:val="32"/>
          <w:lang w:eastAsia="zh-CN"/>
        </w:rPr>
        <w:t>三</w:t>
      </w:r>
      <w:r>
        <w:rPr>
          <w:rFonts w:hint="eastAsia" w:eastAsia="楷体"/>
          <w:b/>
          <w:bCs/>
          <w:sz w:val="32"/>
          <w:szCs w:val="32"/>
        </w:rPr>
        <w:t>）强化评价运用。</w:t>
      </w:r>
      <w:r>
        <w:rPr>
          <w:rFonts w:hint="eastAsia" w:ascii="仿宋_GB2312" w:hAnsi="宋体" w:eastAsia="仿宋_GB2312" w:cs="Times New Roman"/>
          <w:kern w:val="2"/>
          <w:sz w:val="32"/>
          <w:szCs w:val="32"/>
          <w:lang w:val="en-US" w:eastAsia="zh-CN" w:bidi="ar-SA"/>
        </w:rPr>
        <w:t>组织各单位完成好绩效自评工作，积极指导业务，在单位自评的基础上，选取涉及民生、社会公众普遍关心、具有较大经济社会影响的项目，委托第三方中介机构，参与财政部门重点评价工作，为政府决策提供参考。</w:t>
      </w:r>
      <w:r>
        <w:rPr>
          <w:rFonts w:hint="eastAsia" w:ascii="仿宋" w:eastAsia="仿宋" w:cs="仿宋"/>
          <w:color w:val="auto"/>
          <w:spacing w:val="0"/>
          <w:position w:val="0"/>
          <w:sz w:val="32"/>
          <w:shd w:val="clear" w:color="auto" w:fill="auto"/>
          <w:lang w:eastAsia="zh-CN"/>
        </w:rPr>
        <w:t>对绩效好的政策和项目原则上优先保障，绩效一般的项目督促预算单位改进改进，低效无效资金一律削减或取消。积极构建“花钱必问效，无效必问责，违规必严惩”的长效机制。</w:t>
      </w:r>
    </w:p>
    <w:p>
      <w:pPr>
        <w:spacing w:line="560" w:lineRule="exact"/>
        <w:ind w:firstLine="643" w:firstLineChars="200"/>
        <w:rPr>
          <w:rFonts w:hint="eastAsia" w:ascii="仿宋_GB2312" w:hAnsi="宋体" w:eastAsia="仿宋_GB2312" w:cs="Times New Roman"/>
          <w:kern w:val="2"/>
          <w:sz w:val="32"/>
          <w:szCs w:val="32"/>
          <w:lang w:val="en-US" w:eastAsia="zh-CN" w:bidi="ar-SA"/>
        </w:rPr>
      </w:pPr>
      <w:r>
        <w:rPr>
          <w:rFonts w:eastAsia="楷体"/>
          <w:b/>
          <w:bCs/>
          <w:sz w:val="32"/>
          <w:szCs w:val="32"/>
        </w:rPr>
        <w:t>（</w:t>
      </w:r>
      <w:r>
        <w:rPr>
          <w:rFonts w:hint="eastAsia" w:eastAsia="楷体"/>
          <w:b/>
          <w:bCs/>
          <w:sz w:val="32"/>
          <w:szCs w:val="32"/>
          <w:lang w:eastAsia="zh-CN"/>
        </w:rPr>
        <w:t>四</w:t>
      </w:r>
      <w:r>
        <w:rPr>
          <w:rFonts w:eastAsia="楷体"/>
          <w:b/>
          <w:bCs/>
          <w:sz w:val="32"/>
          <w:szCs w:val="32"/>
        </w:rPr>
        <w:t>）</w:t>
      </w:r>
      <w:r>
        <w:rPr>
          <w:rFonts w:hint="eastAsia" w:eastAsia="楷体"/>
          <w:b/>
          <w:bCs/>
          <w:sz w:val="32"/>
          <w:szCs w:val="32"/>
        </w:rPr>
        <w:t>加大</w:t>
      </w:r>
      <w:r>
        <w:rPr>
          <w:rFonts w:hint="eastAsia" w:eastAsia="楷体"/>
          <w:b/>
          <w:bCs/>
          <w:sz w:val="32"/>
          <w:szCs w:val="32"/>
          <w:lang w:eastAsia="zh-CN"/>
        </w:rPr>
        <w:t>宣培</w:t>
      </w:r>
      <w:r>
        <w:rPr>
          <w:rFonts w:hint="eastAsia" w:eastAsia="楷体"/>
          <w:b/>
          <w:bCs/>
          <w:sz w:val="32"/>
          <w:szCs w:val="32"/>
        </w:rPr>
        <w:t>力度。</w:t>
      </w:r>
      <w:r>
        <w:rPr>
          <w:rFonts w:hint="eastAsia" w:ascii="仿宋" w:eastAsia="仿宋" w:cs="仿宋"/>
          <w:color w:val="auto"/>
          <w:spacing w:val="0"/>
          <w:position w:val="0"/>
          <w:sz w:val="32"/>
          <w:shd w:val="clear" w:color="auto" w:fill="auto"/>
          <w:lang w:eastAsia="zh-CN"/>
        </w:rPr>
        <w:t>牢固树立“大绩效”理念，有效发挥绩效管理“指挥棒”和“风向标”作用。落实落细绩效管理各项要求和各个环节，真正把绩效管理理念化为绩效行动，推动绩效管理由“软约束”变为“硬杠杆”。</w:t>
      </w:r>
      <w:r>
        <w:rPr>
          <w:rFonts w:hint="eastAsia" w:ascii="仿宋_GB2312" w:hAnsi="宋体" w:eastAsia="仿宋_GB2312" w:cs="Times New Roman"/>
          <w:kern w:val="2"/>
          <w:sz w:val="32"/>
          <w:szCs w:val="32"/>
          <w:lang w:val="en-US" w:eastAsia="zh-CN" w:bidi="ar-SA"/>
        </w:rPr>
        <w:t>在不断加强自身相关知识学习的同时，保持和上级与同级单位的业务交流，开展预算绩效管理理论和操作实务培训，加大专项资金项目绩效目标和绩效指标确立工作的推行力度。通过亲身实地宣导，利用网络平台、宣传栏等多种载体，加大绩效管理理念宣传力度，强化预算绩效意识，为预算绩效管理创造良好的思想基础和舆论环境。</w:t>
      </w:r>
    </w:p>
    <w:p>
      <w:pPr>
        <w:pStyle w:val="2"/>
        <w:rPr>
          <w:rFonts w:hint="eastAsia" w:ascii="仿宋_GB2312" w:hAnsi="宋体" w:eastAsia="仿宋_GB2312" w:cs="Times New Roman"/>
          <w:kern w:val="2"/>
          <w:sz w:val="32"/>
          <w:szCs w:val="32"/>
          <w:lang w:val="en-US" w:eastAsia="zh-CN" w:bidi="ar-SA"/>
        </w:rPr>
      </w:pPr>
    </w:p>
    <w:p>
      <w:pPr>
        <w:pStyle w:val="2"/>
        <w:rPr>
          <w:rFonts w:hint="eastAsia" w:ascii="仿宋_GB2312" w:hAnsi="宋体" w:eastAsia="仿宋_GB2312" w:cs="Times New Roman"/>
          <w:kern w:val="2"/>
          <w:sz w:val="32"/>
          <w:szCs w:val="32"/>
          <w:lang w:val="en-US" w:eastAsia="zh-CN" w:bidi="ar-SA"/>
        </w:rPr>
      </w:pPr>
    </w:p>
    <w:p>
      <w:pPr>
        <w:pStyle w:val="11"/>
        <w:spacing w:line="560" w:lineRule="exact"/>
        <w:jc w:val="righ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渌口区财政局</w:t>
      </w:r>
    </w:p>
    <w:p>
      <w:pPr>
        <w:jc w:val="righ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2023年12月19日</w:t>
      </w:r>
    </w:p>
    <w:p>
      <w:pPr>
        <w:wordWrap w:val="0"/>
        <w:ind w:firstLine="640" w:firstLineChars="200"/>
        <w:jc w:val="right"/>
        <w:rPr>
          <w:rFonts w:ascii="黑体" w:hAnsi="黑体" w:eastAsia="黑体" w:cs="Times New Roman"/>
          <w:sz w:val="32"/>
          <w:szCs w:val="32"/>
        </w:rPr>
      </w:pPr>
      <w:bookmarkStart w:id="0" w:name="_GoBack"/>
      <w:bookmarkEnd w:id="0"/>
    </w:p>
    <w:sectPr>
      <w:footerReference r:id="rId3" w:type="default"/>
      <w:footerReference r:id="rId4" w:type="even"/>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520A1EBF-C546-44C3-AEDD-97F0F6D38E13}"/>
  </w:font>
  <w:font w:name="Arial">
    <w:panose1 w:val="020B0604020202020204"/>
    <w:charset w:val="01"/>
    <w:family w:val="swiss"/>
    <w:pitch w:val="default"/>
    <w:sig w:usb0="00007A87" w:usb1="80000000" w:usb2="00000008" w:usb3="00000000" w:csb0="400001FF" w:csb1="FFFF0000"/>
    <w:embedRegular r:id="rId2" w:fontKey="{B7F31C91-8D37-4A85-A832-4B964378B13A}"/>
  </w:font>
  <w:font w:name="黑体">
    <w:panose1 w:val="02010600030101010101"/>
    <w:charset w:val="86"/>
    <w:family w:val="auto"/>
    <w:pitch w:val="default"/>
    <w:sig w:usb0="00000001" w:usb1="080E0000" w:usb2="00000000" w:usb3="00000000" w:csb0="00040000" w:csb1="00000000"/>
    <w:embedRegular r:id="rId3" w:fontKey="{D768AEA3-3C4D-45DA-8E02-98B624930711}"/>
  </w:font>
  <w:font w:name="Courier New">
    <w:panose1 w:val="02070309020205020404"/>
    <w:charset w:val="01"/>
    <w:family w:val="modern"/>
    <w:pitch w:val="default"/>
    <w:sig w:usb0="00007A87" w:usb1="80000000" w:usb2="00000008" w:usb3="00000000" w:csb0="400001FF" w:csb1="FFFF0000"/>
    <w:embedRegular r:id="rId4" w:fontKey="{2719A257-4086-4173-B8F2-D07736789A81}"/>
  </w:font>
  <w:font w:name="Symbol">
    <w:panose1 w:val="05050102010706020507"/>
    <w:charset w:val="02"/>
    <w:family w:val="roman"/>
    <w:pitch w:val="default"/>
    <w:sig w:usb0="00000000" w:usb1="00000000" w:usb2="00000000" w:usb3="00000000" w:csb0="80000000" w:csb1="00000000"/>
    <w:embedRegular r:id="rId5" w:fontKey="{C878123C-F638-488A-B5EA-F16A504BB398}"/>
  </w:font>
  <w:font w:name="Calibri">
    <w:panose1 w:val="020F0502020204030204"/>
    <w:charset w:val="00"/>
    <w:family w:val="swiss"/>
    <w:pitch w:val="default"/>
    <w:sig w:usb0="A00002EF" w:usb1="4000207B" w:usb2="00000000" w:usb3="00000000" w:csb0="2000009F" w:csb1="00000000"/>
    <w:embedRegular r:id="rId6" w:fontKey="{E6EC5F71-F414-42C8-8000-0C9D63551B36}"/>
  </w:font>
  <w:font w:name="方正小标宋简体">
    <w:panose1 w:val="02000000000000000000"/>
    <w:charset w:val="86"/>
    <w:family w:val="script"/>
    <w:pitch w:val="default"/>
    <w:sig w:usb0="00000001" w:usb1="08000000" w:usb2="00000000" w:usb3="00000000" w:csb0="00040000" w:csb1="00000000"/>
    <w:embedRegular r:id="rId7" w:fontKey="{D5E47F96-B8B7-40CF-AB63-10AF239AA5F5}"/>
  </w:font>
  <w:font w:name="仿宋">
    <w:panose1 w:val="02010609060101010101"/>
    <w:charset w:val="86"/>
    <w:family w:val="modern"/>
    <w:pitch w:val="default"/>
    <w:sig w:usb0="800002BF" w:usb1="38CF7CFA" w:usb2="00000016" w:usb3="00000000" w:csb0="00040001" w:csb1="00000000"/>
    <w:embedRegular r:id="rId8" w:fontKey="{85F6A64F-3295-42FF-821B-0E78EE681DB7}"/>
  </w:font>
  <w:font w:name="楷体">
    <w:altName w:val="楷体_GB2312"/>
    <w:panose1 w:val="02010609060101010101"/>
    <w:charset w:val="86"/>
    <w:family w:val="modern"/>
    <w:pitch w:val="default"/>
    <w:sig w:usb0="00000000" w:usb1="00000000" w:usb2="00000016" w:usb3="00000000" w:csb0="00040001" w:csb1="00000000"/>
    <w:embedRegular r:id="rId9" w:fontKey="{34E0D2E4-E651-42B2-AF65-24DB077FBE85}"/>
  </w:font>
  <w:font w:name="仿宋_GB2312">
    <w:panose1 w:val="02010609030101010101"/>
    <w:charset w:val="86"/>
    <w:family w:val="auto"/>
    <w:pitch w:val="default"/>
    <w:sig w:usb0="00000001" w:usb1="080E0000" w:usb2="00000000" w:usb3="00000000" w:csb0="00040000" w:csb1="00000000"/>
    <w:embedRegular r:id="rId10" w:fontKey="{AC0BA88F-D3CD-4A62-8686-4857B3456508}"/>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1" w:fontKey="{7B5E64F7-8F67-4CAB-B97B-F4AE2D937D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408686"/>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408690"/>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p>
    <w:pPr>
      <w:pStyle w:val="4"/>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001252"/>
    <w:rsid w:val="00041F21"/>
    <w:rsid w:val="00124096"/>
    <w:rsid w:val="00430778"/>
    <w:rsid w:val="005C1F6C"/>
    <w:rsid w:val="006B40D8"/>
    <w:rsid w:val="00884496"/>
    <w:rsid w:val="008B093C"/>
    <w:rsid w:val="008F3204"/>
    <w:rsid w:val="00980C20"/>
    <w:rsid w:val="00995C39"/>
    <w:rsid w:val="009B3B41"/>
    <w:rsid w:val="009C3B1B"/>
    <w:rsid w:val="00A07A66"/>
    <w:rsid w:val="00C25855"/>
    <w:rsid w:val="00C457DE"/>
    <w:rsid w:val="00CA3D5F"/>
    <w:rsid w:val="00CD5537"/>
    <w:rsid w:val="00E46CC4"/>
    <w:rsid w:val="00E84287"/>
    <w:rsid w:val="00EC2E96"/>
    <w:rsid w:val="00F6163E"/>
    <w:rsid w:val="00FF6C4F"/>
    <w:rsid w:val="067B2A3F"/>
    <w:rsid w:val="14001252"/>
    <w:rsid w:val="168C14DC"/>
    <w:rsid w:val="1B5B5EB7"/>
    <w:rsid w:val="336153A8"/>
    <w:rsid w:val="3DFE7160"/>
    <w:rsid w:val="45666F21"/>
    <w:rsid w:val="4714204E"/>
    <w:rsid w:val="548A0D98"/>
    <w:rsid w:val="56883B4E"/>
    <w:rsid w:val="5BA11660"/>
    <w:rsid w:val="5C7F6A30"/>
    <w:rsid w:val="5D1C1D59"/>
    <w:rsid w:val="6FF50EFF"/>
    <w:rsid w:val="7AB62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0"/>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批注框文本 Char"/>
    <w:basedOn w:val="7"/>
    <w:link w:val="3"/>
    <w:uiPriority w:val="0"/>
    <w:rPr>
      <w:kern w:val="2"/>
      <w:sz w:val="18"/>
      <w:szCs w:val="18"/>
    </w:rPr>
  </w:style>
  <w:style w:type="paragraph" w:customStyle="1" w:styleId="11">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536</Words>
  <Characters>3060</Characters>
  <Lines>25</Lines>
  <Paragraphs>7</Paragraphs>
  <TotalTime>1</TotalTime>
  <ScaleCrop>false</ScaleCrop>
  <LinksUpToDate>false</LinksUpToDate>
  <CharactersWithSpaces>3589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2020-12-22T06:45:00Z</dcterms:created>
  <dc:creator>Heneciakim </dc:creator>
  <cp:lastModifiedBy>S,'双双</cp:lastModifiedBy>
  <cp:lastPrinted>2022-01-07T09:20:00Z</cp:lastPrinted>
  <dcterms:modified xsi:type="dcterms:W3CDTF">2024-02-07T02:14:08Z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F46BCC0E6E334D2F9441AE217256BDC4</vt:lpwstr>
  </property>
  <property fmtid="{D5CDD505-2E9C-101B-9397-08002B2CF9AE}" pid="4" name="KSOSaveFontToCloudKey">
    <vt:lpwstr>353542221_embed</vt:lpwstr>
  </property>
</Properties>
</file>