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600" w:lineRule="exact"/>
        <w:jc w:val="left"/>
        <w:rPr>
          <w:rFonts w:hint="eastAsia" w:eastAsia="方正小标宋简体"/>
          <w:bCs/>
          <w:sz w:val="44"/>
          <w:szCs w:val="44"/>
        </w:rPr>
      </w:pPr>
      <w:bookmarkStart w:id="0" w:name="_GoBack"/>
      <w:bookmarkEnd w:id="0"/>
      <w:r>
        <w:rPr>
          <w:rFonts w:hint="eastAsia" w:eastAsia="方正小标宋简体"/>
          <w:sz w:val="32"/>
          <w:szCs w:val="32"/>
        </w:rPr>
        <w:t>HNPR—2024—01002</w:t>
      </w:r>
    </w:p>
    <w:p>
      <w:pPr>
        <w:pStyle w:val="2"/>
        <w:widowControl/>
        <w:shd w:val="clear" w:color="auto" w:fill="FFFFFF"/>
        <w:snapToGrid w:val="0"/>
        <w:spacing w:before="0" w:beforeAutospacing="0" w:after="0" w:afterAutospacing="0" w:line="580" w:lineRule="exact"/>
        <w:ind w:firstLine="0" w:firstLineChars="0"/>
        <w:jc w:val="center"/>
        <w:rPr>
          <w:rFonts w:ascii="Times New Roman" w:hAnsi="Times New Roman" w:eastAsia="方正小标宋简体"/>
          <w:b w:val="0"/>
          <w:sz w:val="44"/>
          <w:szCs w:val="44"/>
        </w:rPr>
      </w:pPr>
    </w:p>
    <w:p>
      <w:pPr>
        <w:pStyle w:val="2"/>
        <w:widowControl/>
        <w:shd w:val="clear" w:color="auto" w:fill="FFFFFF"/>
        <w:snapToGrid w:val="0"/>
        <w:spacing w:before="0" w:beforeAutospacing="0" w:after="0" w:afterAutospacing="0" w:line="580" w:lineRule="exact"/>
        <w:ind w:firstLine="0" w:firstLineChars="0"/>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湖南省人民政府办公厅</w:t>
      </w:r>
    </w:p>
    <w:p>
      <w:pPr>
        <w:pStyle w:val="21"/>
        <w:spacing w:line="600" w:lineRule="exact"/>
        <w:jc w:val="center"/>
        <w:rPr>
          <w:rFonts w:hint="eastAsia" w:eastAsia="方正小标宋简体"/>
          <w:bCs/>
          <w:sz w:val="44"/>
          <w:szCs w:val="44"/>
        </w:rPr>
      </w:pPr>
      <w:r>
        <w:rPr>
          <w:rFonts w:eastAsia="方正小标宋简体"/>
          <w:bCs/>
          <w:sz w:val="44"/>
          <w:szCs w:val="44"/>
        </w:rPr>
        <w:t>关于印发《</w:t>
      </w:r>
      <w:r>
        <w:rPr>
          <w:rFonts w:hint="eastAsia" w:eastAsia="方正小标宋简体"/>
          <w:bCs/>
          <w:sz w:val="44"/>
          <w:szCs w:val="44"/>
        </w:rPr>
        <w:t>湖南省进一步强化招商引资工作的政策措施</w:t>
      </w:r>
      <w:r>
        <w:rPr>
          <w:rFonts w:eastAsia="方正小标宋简体"/>
          <w:bCs/>
          <w:sz w:val="44"/>
          <w:szCs w:val="44"/>
        </w:rPr>
        <w:t>》的通知</w:t>
      </w:r>
    </w:p>
    <w:p>
      <w:pPr>
        <w:pStyle w:val="21"/>
        <w:spacing w:line="600" w:lineRule="exact"/>
        <w:jc w:val="center"/>
        <w:rPr>
          <w:rFonts w:hint="eastAsia" w:eastAsia="仿宋_GB2312"/>
          <w:sz w:val="32"/>
          <w:szCs w:val="32"/>
        </w:rPr>
      </w:pPr>
      <w:r>
        <w:rPr>
          <w:rFonts w:hint="eastAsia" w:eastAsia="仿宋_GB2312"/>
          <w:sz w:val="32"/>
          <w:szCs w:val="32"/>
        </w:rPr>
        <w:t>湘政办发〔2024〕4号</w:t>
      </w:r>
    </w:p>
    <w:p>
      <w:pPr>
        <w:pStyle w:val="21"/>
        <w:spacing w:line="600" w:lineRule="exact"/>
        <w:ind w:firstLine="640" w:firstLineChars="200"/>
        <w:jc w:val="center"/>
        <w:rPr>
          <w:rFonts w:hint="eastAsia" w:eastAsia="方正小标宋简体"/>
          <w:sz w:val="32"/>
          <w:szCs w:val="32"/>
        </w:rPr>
      </w:pPr>
    </w:p>
    <w:p>
      <w:pPr>
        <w:spacing w:line="580" w:lineRule="exact"/>
        <w:ind w:firstLine="0" w:firstLineChars="0"/>
        <w:rPr>
          <w:rFonts w:hint="eastAsia"/>
          <w:szCs w:val="32"/>
        </w:rPr>
      </w:pPr>
      <w:r>
        <w:rPr>
          <w:szCs w:val="32"/>
        </w:rPr>
        <w:t>各市州、县市区人民政府，省政府各厅委、各直属机构</w:t>
      </w:r>
      <w:r>
        <w:rPr>
          <w:rFonts w:hint="eastAsia"/>
          <w:szCs w:val="32"/>
        </w:rPr>
        <w:t>：</w:t>
      </w:r>
    </w:p>
    <w:p>
      <w:pPr>
        <w:spacing w:line="580" w:lineRule="exact"/>
        <w:rPr>
          <w:szCs w:val="32"/>
        </w:rPr>
      </w:pPr>
      <w:r>
        <w:rPr>
          <w:szCs w:val="32"/>
        </w:rPr>
        <w:t>《湖南省进一步</w:t>
      </w:r>
      <w:r>
        <w:rPr>
          <w:rFonts w:hint="eastAsia"/>
          <w:szCs w:val="32"/>
        </w:rPr>
        <w:t>强化</w:t>
      </w:r>
      <w:r>
        <w:rPr>
          <w:szCs w:val="32"/>
        </w:rPr>
        <w:t>招商引资工作的政策措施》已经省人民政府同意，现印发给你们，请认真贯彻执行。</w:t>
      </w:r>
    </w:p>
    <w:p>
      <w:pPr>
        <w:spacing w:line="580" w:lineRule="exact"/>
        <w:ind w:firstLine="880"/>
        <w:rPr>
          <w:sz w:val="44"/>
          <w:szCs w:val="44"/>
        </w:rPr>
      </w:pPr>
    </w:p>
    <w:p>
      <w:pPr>
        <w:spacing w:line="580" w:lineRule="exact"/>
        <w:ind w:firstLine="880"/>
        <w:rPr>
          <w:sz w:val="44"/>
          <w:szCs w:val="44"/>
        </w:rPr>
      </w:pPr>
    </w:p>
    <w:p>
      <w:pPr>
        <w:pStyle w:val="6"/>
        <w:spacing w:line="580" w:lineRule="exact"/>
        <w:ind w:firstLine="5120" w:firstLineChars="1600"/>
        <w:rPr>
          <w:szCs w:val="32"/>
        </w:rPr>
      </w:pPr>
      <w:r>
        <w:rPr>
          <w:szCs w:val="32"/>
        </w:rPr>
        <w:t>湖南省人民政府办公厅</w:t>
      </w:r>
    </w:p>
    <w:p>
      <w:pPr>
        <w:wordWrap w:val="0"/>
        <w:spacing w:line="580" w:lineRule="exact"/>
        <w:rPr>
          <w:szCs w:val="32"/>
          <w:lang w:val="en"/>
        </w:rPr>
      </w:pPr>
      <w:r>
        <w:rPr>
          <w:rFonts w:hint="eastAsia"/>
          <w:szCs w:val="32"/>
        </w:rPr>
        <w:t xml:space="preserve">                               </w:t>
      </w:r>
      <w:r>
        <w:rPr>
          <w:szCs w:val="32"/>
        </w:rPr>
        <w:t>202</w:t>
      </w:r>
      <w:r>
        <w:rPr>
          <w:rFonts w:hint="eastAsia"/>
          <w:szCs w:val="32"/>
        </w:rPr>
        <w:t>4</w:t>
      </w:r>
      <w:r>
        <w:rPr>
          <w:szCs w:val="32"/>
        </w:rPr>
        <w:t>年</w:t>
      </w:r>
      <w:r>
        <w:rPr>
          <w:rFonts w:hint="eastAsia"/>
          <w:szCs w:val="32"/>
        </w:rPr>
        <w:t>2</w:t>
      </w:r>
      <w:r>
        <w:rPr>
          <w:szCs w:val="32"/>
        </w:rPr>
        <w:t>月</w:t>
      </w:r>
      <w:r>
        <w:rPr>
          <w:rFonts w:hint="eastAsia"/>
          <w:szCs w:val="32"/>
          <w:lang w:val="en"/>
        </w:rPr>
        <w:t>2</w:t>
      </w:r>
      <w:r>
        <w:rPr>
          <w:szCs w:val="32"/>
        </w:rPr>
        <w:t>日</w:t>
      </w:r>
      <w:r>
        <w:rPr>
          <w:szCs w:val="32"/>
          <w:lang w:val="en"/>
        </w:rPr>
        <w:t xml:space="preserve">   </w:t>
      </w:r>
    </w:p>
    <w:p>
      <w:pPr>
        <w:spacing w:line="580" w:lineRule="exact"/>
        <w:rPr>
          <w:rFonts w:hint="eastAsia" w:ascii="仿宋_GB2312" w:hAnsi="仿宋_GB2312" w:cs="仿宋_GB2312"/>
          <w:szCs w:val="32"/>
        </w:rPr>
      </w:pPr>
      <w:r>
        <w:rPr>
          <w:rFonts w:hint="eastAsia" w:ascii="仿宋_GB2312" w:hAnsi="仿宋_GB2312" w:cs="仿宋_GB2312"/>
          <w:szCs w:val="32"/>
        </w:rPr>
        <w:t>(此件主动公开)</w:t>
      </w:r>
    </w:p>
    <w:p>
      <w:pPr>
        <w:spacing w:line="580" w:lineRule="exact"/>
        <w:ind w:firstLine="880"/>
        <w:rPr>
          <w:rFonts w:hint="eastAsia"/>
          <w:sz w:val="44"/>
          <w:szCs w:val="44"/>
        </w:rPr>
      </w:pPr>
    </w:p>
    <w:p>
      <w:pPr>
        <w:spacing w:line="580" w:lineRule="exact"/>
        <w:ind w:firstLine="880"/>
        <w:rPr>
          <w:sz w:val="44"/>
          <w:szCs w:val="44"/>
        </w:rPr>
      </w:pPr>
    </w:p>
    <w:p>
      <w:pPr>
        <w:pStyle w:val="21"/>
        <w:spacing w:line="600" w:lineRule="exact"/>
        <w:ind w:firstLine="640" w:firstLineChars="200"/>
        <w:jc w:val="center"/>
        <w:rPr>
          <w:rFonts w:hint="eastAsia" w:eastAsia="方正小标宋简体"/>
          <w:sz w:val="32"/>
          <w:szCs w:val="32"/>
        </w:rPr>
      </w:pPr>
    </w:p>
    <w:p>
      <w:pPr>
        <w:pStyle w:val="21"/>
        <w:spacing w:line="600" w:lineRule="exact"/>
        <w:ind w:firstLine="640" w:firstLineChars="200"/>
        <w:jc w:val="center"/>
        <w:rPr>
          <w:rFonts w:hint="eastAsia" w:eastAsia="方正小标宋简体"/>
          <w:sz w:val="32"/>
          <w:szCs w:val="32"/>
        </w:rPr>
      </w:pPr>
    </w:p>
    <w:p>
      <w:pPr>
        <w:pStyle w:val="21"/>
        <w:spacing w:line="600" w:lineRule="exact"/>
        <w:ind w:firstLine="640" w:firstLineChars="200"/>
        <w:jc w:val="center"/>
        <w:rPr>
          <w:rFonts w:hint="eastAsia" w:eastAsia="方正小标宋简体"/>
          <w:sz w:val="32"/>
          <w:szCs w:val="32"/>
        </w:rPr>
      </w:pPr>
    </w:p>
    <w:p>
      <w:pPr>
        <w:pStyle w:val="21"/>
        <w:spacing w:line="600" w:lineRule="exact"/>
        <w:ind w:firstLine="640" w:firstLineChars="200"/>
        <w:jc w:val="center"/>
        <w:rPr>
          <w:rFonts w:hint="eastAsia" w:eastAsia="方正小标宋简体"/>
          <w:sz w:val="32"/>
          <w:szCs w:val="32"/>
        </w:rPr>
      </w:pPr>
    </w:p>
    <w:p>
      <w:pPr>
        <w:pStyle w:val="21"/>
        <w:spacing w:line="600" w:lineRule="exact"/>
        <w:ind w:firstLine="640" w:firstLineChars="200"/>
        <w:jc w:val="center"/>
        <w:rPr>
          <w:rFonts w:hint="eastAsia" w:eastAsia="方正小标宋简体"/>
          <w:sz w:val="32"/>
          <w:szCs w:val="32"/>
        </w:rPr>
      </w:pPr>
    </w:p>
    <w:p>
      <w:pPr>
        <w:pStyle w:val="21"/>
        <w:spacing w:line="600" w:lineRule="exact"/>
        <w:ind w:firstLine="640" w:firstLineChars="200"/>
        <w:jc w:val="center"/>
        <w:rPr>
          <w:rFonts w:eastAsia="方正小标宋简体"/>
          <w:sz w:val="32"/>
          <w:szCs w:val="32"/>
        </w:rPr>
      </w:pPr>
    </w:p>
    <w:p>
      <w:pPr>
        <w:spacing w:line="580" w:lineRule="exact"/>
        <w:ind w:firstLine="0" w:firstLineChars="0"/>
        <w:jc w:val="center"/>
        <w:rPr>
          <w:rFonts w:hint="eastAsia" w:eastAsia="方正小标宋简体"/>
          <w:sz w:val="44"/>
          <w:szCs w:val="44"/>
        </w:rPr>
      </w:pPr>
      <w:r>
        <w:rPr>
          <w:rFonts w:eastAsia="方正小标宋简体"/>
          <w:sz w:val="44"/>
          <w:szCs w:val="44"/>
        </w:rPr>
        <w:t>湖南省进一步</w:t>
      </w:r>
      <w:r>
        <w:rPr>
          <w:rFonts w:hint="eastAsia" w:eastAsia="方正小标宋简体"/>
          <w:sz w:val="44"/>
          <w:szCs w:val="44"/>
        </w:rPr>
        <w:t>强化</w:t>
      </w:r>
      <w:r>
        <w:rPr>
          <w:rFonts w:eastAsia="方正小标宋简体"/>
          <w:sz w:val="44"/>
          <w:szCs w:val="44"/>
        </w:rPr>
        <w:t>招商引资工作的</w:t>
      </w:r>
    </w:p>
    <w:p>
      <w:pPr>
        <w:spacing w:line="580" w:lineRule="exact"/>
        <w:ind w:firstLine="0" w:firstLineChars="0"/>
        <w:jc w:val="center"/>
        <w:rPr>
          <w:rFonts w:hint="eastAsia" w:eastAsia="方正小标宋简体"/>
          <w:sz w:val="44"/>
          <w:szCs w:val="44"/>
        </w:rPr>
      </w:pPr>
      <w:r>
        <w:rPr>
          <w:rFonts w:eastAsia="方正小标宋简体"/>
          <w:sz w:val="44"/>
          <w:szCs w:val="44"/>
        </w:rPr>
        <w:t>政策措施</w:t>
      </w:r>
    </w:p>
    <w:p>
      <w:pPr>
        <w:pStyle w:val="21"/>
        <w:spacing w:line="600" w:lineRule="exact"/>
        <w:jc w:val="center"/>
        <w:rPr>
          <w:rFonts w:eastAsia="仿宋_GB2312"/>
          <w:sz w:val="32"/>
          <w:szCs w:val="32"/>
        </w:rPr>
      </w:pPr>
    </w:p>
    <w:p>
      <w:pPr>
        <w:overflowPunct w:val="0"/>
        <w:spacing w:line="580" w:lineRule="exact"/>
        <w:rPr>
          <w:rFonts w:hint="eastAsia" w:ascii="仿宋_GB2312" w:hAnsi="仿宋_GB2312"/>
          <w:color w:val="000000"/>
          <w:szCs w:val="32"/>
        </w:rPr>
      </w:pPr>
      <w:r>
        <w:rPr>
          <w:rFonts w:hint="eastAsia" w:ascii="仿宋_GB2312" w:hAnsi="仿宋_GB2312"/>
          <w:color w:val="000000"/>
          <w:szCs w:val="32"/>
        </w:rPr>
        <w:t>为全面贯彻落实党的二十大精神，加快实现“三高四新”美好蓝图，更大力度引进外资，更高质量吸引湘商回归，提升招商引资对我省经济社会的贡献，根据国务院有关文件精神，制定如下政策措施。</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一、支持招大引强</w:t>
      </w:r>
      <w:r>
        <w:rPr>
          <w:rFonts w:hint="eastAsia" w:ascii="仿宋_GB2312" w:hAnsi="仿宋_GB2312"/>
          <w:color w:val="000000"/>
          <w:szCs w:val="32"/>
        </w:rPr>
        <w:t>。对重大外资项目（不含房地产业项目，下同）和重大内资先进制造业项目，根据其对经济社会实际贡献情况给予奖励，最高奖励</w:t>
      </w:r>
      <w:r>
        <w:rPr>
          <w:rFonts w:hint="eastAsia"/>
          <w:szCs w:val="32"/>
        </w:rPr>
        <w:t>2000</w:t>
      </w:r>
      <w:r>
        <w:rPr>
          <w:rFonts w:hint="eastAsia" w:ascii="仿宋_GB2312" w:hAnsi="仿宋_GB2312"/>
          <w:color w:val="000000"/>
          <w:szCs w:val="32"/>
        </w:rPr>
        <w:t>万元。对央企在湖南新设总部或将总部整体搬迁至湖南的，按“一事一议”原则，给予综合支持；对央企在湘新设一级子公司或将其他省的一级子公司整体搬迁至湖南的，根据其对经济社会实际贡献情况，最高奖励</w:t>
      </w:r>
      <w:r>
        <w:rPr>
          <w:rFonts w:hint="eastAsia"/>
          <w:szCs w:val="32"/>
        </w:rPr>
        <w:t>1000</w:t>
      </w:r>
      <w:r>
        <w:rPr>
          <w:rFonts w:hint="eastAsia" w:ascii="仿宋_GB2312" w:hAnsi="仿宋_GB2312"/>
          <w:color w:val="000000"/>
          <w:szCs w:val="32"/>
        </w:rPr>
        <w:t>万元；对央企在湘新设二级子公司或将其他省的二级子公司整体搬迁至湖南的，根据其对经济社会实际贡献情况，最高奖励</w:t>
      </w:r>
      <w:r>
        <w:rPr>
          <w:rFonts w:hint="eastAsia"/>
          <w:szCs w:val="32"/>
        </w:rPr>
        <w:t>500</w:t>
      </w:r>
      <w:r>
        <w:rPr>
          <w:rFonts w:hint="eastAsia" w:ascii="仿宋_GB2312" w:hAnsi="仿宋_GB2312"/>
          <w:color w:val="000000"/>
          <w:szCs w:val="32"/>
        </w:rPr>
        <w:t>万元。(责任单位：省商务厅、省财政厅)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二、支持开展园区国际合作。</w:t>
      </w:r>
      <w:r>
        <w:rPr>
          <w:rFonts w:hint="eastAsia" w:ascii="仿宋_GB2312" w:hAnsi="仿宋_GB2312"/>
          <w:color w:val="000000"/>
          <w:szCs w:val="32"/>
        </w:rPr>
        <w:t>支持国际合作园区（示范区）创建，对通过省级国际合作园区（示范区）认定，达到年度绩效考核目标的，给予适当奖励，三年累计奖励不超过</w:t>
      </w:r>
      <w:r>
        <w:rPr>
          <w:rFonts w:hint="eastAsia"/>
          <w:szCs w:val="32"/>
        </w:rPr>
        <w:t>500</w:t>
      </w:r>
      <w:r>
        <w:rPr>
          <w:rFonts w:hint="eastAsia" w:ascii="仿宋_GB2312" w:hAnsi="仿宋_GB2312"/>
          <w:color w:val="000000"/>
          <w:szCs w:val="32"/>
        </w:rPr>
        <w:t>万元；通过国家国际合作园区认定或纳入国家“两国双园”合作机制的，增加奖励</w:t>
      </w:r>
      <w:r>
        <w:rPr>
          <w:rFonts w:hint="eastAsia"/>
          <w:szCs w:val="32"/>
        </w:rPr>
        <w:t>300</w:t>
      </w:r>
      <w:r>
        <w:rPr>
          <w:rFonts w:hint="eastAsia" w:ascii="仿宋_GB2312" w:hAnsi="仿宋_GB2312"/>
          <w:color w:val="000000"/>
          <w:szCs w:val="32"/>
        </w:rPr>
        <w:t>万元。对国际合作园区新引进的外资项目办公场地租金和贷款利息给予适当补贴，省级补贴比例不超过</w:t>
      </w:r>
      <w:r>
        <w:rPr>
          <w:rFonts w:hint="eastAsia"/>
          <w:szCs w:val="32"/>
        </w:rPr>
        <w:t>50%</w:t>
      </w:r>
      <w:r>
        <w:rPr>
          <w:rFonts w:hint="eastAsia" w:ascii="仿宋_GB2312" w:hAnsi="仿宋_GB2312"/>
          <w:color w:val="000000"/>
          <w:szCs w:val="32"/>
        </w:rPr>
        <w:t>，单个项目补贴不超过</w:t>
      </w:r>
      <w:r>
        <w:rPr>
          <w:rFonts w:hint="eastAsia"/>
          <w:szCs w:val="32"/>
        </w:rPr>
        <w:t>3</w:t>
      </w:r>
      <w:r>
        <w:rPr>
          <w:rFonts w:hint="eastAsia" w:ascii="仿宋_GB2312" w:hAnsi="仿宋_GB2312"/>
          <w:color w:val="000000"/>
          <w:szCs w:val="32"/>
        </w:rPr>
        <w:t>年。(责任单位：省商务厅、省财政厅)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三、支持引进高质量项目。</w:t>
      </w:r>
      <w:r>
        <w:rPr>
          <w:rFonts w:hint="eastAsia" w:ascii="仿宋_GB2312" w:hAnsi="仿宋_GB2312"/>
          <w:color w:val="000000"/>
          <w:szCs w:val="32"/>
        </w:rPr>
        <w:t>鼓励跨国公司和行业领军企业来湘设立企业(集团)总部、中国区总部、区域总部。对“三类</w:t>
      </w:r>
      <w:r>
        <w:rPr>
          <w:rFonts w:hint="eastAsia"/>
          <w:szCs w:val="32"/>
        </w:rPr>
        <w:t>500</w:t>
      </w:r>
      <w:r>
        <w:rPr>
          <w:rFonts w:hint="eastAsia" w:ascii="仿宋_GB2312" w:hAnsi="仿宋_GB2312"/>
          <w:color w:val="000000"/>
          <w:szCs w:val="32"/>
        </w:rPr>
        <w:t>强”企业来湘设立各类总部的，根据其对经济社会实际贡献情况，最高奖励</w:t>
      </w:r>
      <w:r>
        <w:rPr>
          <w:rFonts w:hint="eastAsia"/>
          <w:szCs w:val="32"/>
        </w:rPr>
        <w:t>1000</w:t>
      </w:r>
      <w:r>
        <w:rPr>
          <w:rFonts w:hint="eastAsia" w:ascii="仿宋_GB2312" w:hAnsi="仿宋_GB2312"/>
          <w:color w:val="000000"/>
          <w:szCs w:val="32"/>
        </w:rPr>
        <w:t>万元。对商务部或我省确定的总部项目以外的标志性外资项目、重点招商引资项目，根据对经济社会实际贡献情况给予奖励，最高奖励</w:t>
      </w:r>
      <w:r>
        <w:rPr>
          <w:rFonts w:hint="eastAsia"/>
          <w:szCs w:val="32"/>
        </w:rPr>
        <w:t>1000</w:t>
      </w:r>
      <w:r>
        <w:rPr>
          <w:rFonts w:hint="eastAsia" w:ascii="仿宋_GB2312" w:hAnsi="仿宋_GB2312"/>
          <w:color w:val="000000"/>
          <w:szCs w:val="32"/>
        </w:rPr>
        <w:t>万元。鼓励企业投资设立研发中心、创新中心，对经省级及以上部门认定的中心，根据中心建设运营情况及科研经费到位情况，给予最高不超过</w:t>
      </w:r>
      <w:r>
        <w:rPr>
          <w:rFonts w:hint="eastAsia"/>
          <w:szCs w:val="32"/>
        </w:rPr>
        <w:t>500</w:t>
      </w:r>
      <w:r>
        <w:rPr>
          <w:rFonts w:hint="eastAsia" w:ascii="仿宋_GB2312" w:hAnsi="仿宋_GB2312"/>
          <w:color w:val="000000"/>
          <w:szCs w:val="32"/>
        </w:rPr>
        <w:t>万元的奖励。(责任单位：省商务厅、省科学技术厅、省工业和信息化厅、省财政厅)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四、支持产业链精准招商。</w:t>
      </w:r>
      <w:r>
        <w:rPr>
          <w:rFonts w:hint="eastAsia" w:ascii="仿宋_GB2312" w:hAnsi="仿宋_GB2312"/>
          <w:color w:val="000000"/>
          <w:szCs w:val="32"/>
        </w:rPr>
        <w:t>积极支持各园区围绕我省现代化产业体系建设中的</w:t>
      </w:r>
      <w:r>
        <w:rPr>
          <w:rFonts w:hint="eastAsia"/>
          <w:szCs w:val="32"/>
        </w:rPr>
        <w:t>16</w:t>
      </w:r>
      <w:r>
        <w:rPr>
          <w:rFonts w:hint="eastAsia" w:ascii="仿宋_GB2312" w:hAnsi="仿宋_GB2312"/>
          <w:color w:val="000000"/>
          <w:szCs w:val="32"/>
        </w:rPr>
        <w:t>条产业链开展精准招商，对两年内招引同一产业链</w:t>
      </w:r>
      <w:r>
        <w:rPr>
          <w:rFonts w:hint="eastAsia"/>
          <w:szCs w:val="32"/>
        </w:rPr>
        <w:t>5</w:t>
      </w:r>
      <w:r>
        <w:rPr>
          <w:rFonts w:hint="eastAsia" w:ascii="仿宋_GB2312" w:hAnsi="仿宋_GB2312"/>
          <w:color w:val="000000"/>
          <w:szCs w:val="32"/>
        </w:rPr>
        <w:t>家以上企业的园区，根据企业投资情况及对产业和经济社会发展带动情况，最高奖励园区</w:t>
      </w:r>
      <w:r>
        <w:rPr>
          <w:rFonts w:hint="eastAsia"/>
          <w:szCs w:val="32"/>
        </w:rPr>
        <w:t>200</w:t>
      </w:r>
      <w:r>
        <w:rPr>
          <w:rFonts w:hint="eastAsia" w:ascii="仿宋_GB2312" w:hAnsi="仿宋_GB2312"/>
          <w:color w:val="000000"/>
          <w:szCs w:val="32"/>
        </w:rPr>
        <w:t>万元。鼓励市县引入链主企业，根据链主企业新引进的配套企业投资情况及对产业和经济社会发展带动情况，给予市县政府适当奖励。(责任单位：省商务厅、省财政厅)</w:t>
      </w:r>
    </w:p>
    <w:p>
      <w:pPr>
        <w:overflowPunct w:val="0"/>
        <w:autoSpaceDE w:val="0"/>
        <w:spacing w:line="580" w:lineRule="exact"/>
        <w:rPr>
          <w:rFonts w:hint="eastAsia" w:ascii="黑体" w:hAnsi="黑体" w:eastAsia="黑体"/>
          <w:color w:val="000000"/>
          <w:szCs w:val="32"/>
        </w:rPr>
      </w:pPr>
      <w:r>
        <w:rPr>
          <w:rFonts w:hint="eastAsia" w:ascii="黑体" w:hAnsi="黑体" w:eastAsia="黑体"/>
          <w:color w:val="000000"/>
          <w:szCs w:val="32"/>
        </w:rPr>
        <w:t>五、支持园区提质升级。</w:t>
      </w:r>
      <w:r>
        <w:rPr>
          <w:rFonts w:hint="eastAsia" w:ascii="仿宋_GB2312" w:hAnsi="仿宋_GB2312"/>
          <w:color w:val="000000"/>
          <w:szCs w:val="32"/>
        </w:rPr>
        <w:t>对新升级为国家级经开区的省级园区，最高奖励</w:t>
      </w:r>
      <w:r>
        <w:rPr>
          <w:rFonts w:hint="eastAsia"/>
          <w:szCs w:val="32"/>
        </w:rPr>
        <w:t>500</w:t>
      </w:r>
      <w:r>
        <w:rPr>
          <w:rFonts w:hint="eastAsia" w:ascii="仿宋_GB2312" w:hAnsi="仿宋_GB2312" w:cs="仿宋_GB2312"/>
          <w:szCs w:val="32"/>
        </w:rPr>
        <w:t>万</w:t>
      </w:r>
      <w:r>
        <w:rPr>
          <w:rFonts w:hint="eastAsia" w:ascii="仿宋_GB2312" w:hAnsi="仿宋_GB2312"/>
          <w:color w:val="000000"/>
          <w:szCs w:val="32"/>
        </w:rPr>
        <w:t>元；对在国家级经开区综评中全国排名实现进位，同时实际使用外资或进出口总额单项进入全国排名前</w:t>
      </w:r>
      <w:r>
        <w:rPr>
          <w:rFonts w:hint="eastAsia"/>
          <w:szCs w:val="32"/>
        </w:rPr>
        <w:t>30</w:t>
      </w:r>
      <w:r>
        <w:rPr>
          <w:rFonts w:hint="eastAsia" w:ascii="仿宋_GB2312" w:hAnsi="仿宋_GB2312"/>
          <w:color w:val="000000"/>
          <w:szCs w:val="32"/>
        </w:rPr>
        <w:t>位的园区，最高奖励</w:t>
      </w:r>
      <w:r>
        <w:rPr>
          <w:rFonts w:hint="eastAsia"/>
          <w:szCs w:val="32"/>
        </w:rPr>
        <w:t>300</w:t>
      </w:r>
      <w:r>
        <w:rPr>
          <w:rFonts w:hint="eastAsia" w:ascii="仿宋_GB2312" w:hAnsi="仿宋_GB2312"/>
          <w:color w:val="000000"/>
          <w:szCs w:val="32"/>
        </w:rPr>
        <w:t>万元；对评为全省“开放十强”的省级以上园区最高奖励</w:t>
      </w:r>
      <w:r>
        <w:rPr>
          <w:rFonts w:hint="eastAsia"/>
          <w:szCs w:val="32"/>
        </w:rPr>
        <w:t>200</w:t>
      </w:r>
      <w:r>
        <w:rPr>
          <w:rFonts w:hint="eastAsia" w:ascii="仿宋_GB2312" w:hAnsi="仿宋_GB2312"/>
          <w:color w:val="000000"/>
          <w:szCs w:val="32"/>
        </w:rPr>
        <w:t>万元。支持智慧园区建设，对首次建成智慧招商平台，并与省级平台实现互联互通、协同办公、数据共享的，对平台软件购买、系统开发、设备购置等前期建设费用进行奖补，奖补比例不超过</w:t>
      </w:r>
      <w:r>
        <w:rPr>
          <w:rFonts w:hint="eastAsia"/>
          <w:szCs w:val="32"/>
        </w:rPr>
        <w:t>50%</w:t>
      </w:r>
      <w:r>
        <w:rPr>
          <w:rFonts w:hint="eastAsia" w:ascii="仿宋_GB2312" w:hAnsi="仿宋_GB2312"/>
          <w:color w:val="000000"/>
          <w:szCs w:val="32"/>
        </w:rPr>
        <w:t>，最高奖励</w:t>
      </w:r>
      <w:r>
        <w:rPr>
          <w:rFonts w:hint="eastAsia"/>
          <w:szCs w:val="32"/>
        </w:rPr>
        <w:t>50</w:t>
      </w:r>
      <w:r>
        <w:rPr>
          <w:rFonts w:hint="eastAsia" w:ascii="仿宋_GB2312" w:hAnsi="仿宋_GB2312"/>
          <w:color w:val="000000"/>
          <w:szCs w:val="32"/>
        </w:rPr>
        <w:t>万元。(责任单位：省商务厅、省发展改革委、省科学技术厅、省财政厅)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六、支持湘商回归。</w:t>
      </w:r>
      <w:r>
        <w:rPr>
          <w:rFonts w:hint="eastAsia" w:ascii="仿宋_GB2312" w:hAnsi="仿宋_GB2312"/>
          <w:color w:val="000000"/>
          <w:szCs w:val="32"/>
        </w:rPr>
        <w:t>鼓励和支持各地开展湘商回归投资促进工作，做好湘商回归项目的服务保障并重点支持。对年度新引进湘商实际到位资金不低于</w:t>
      </w:r>
      <w:r>
        <w:rPr>
          <w:rFonts w:hint="eastAsia"/>
          <w:szCs w:val="32"/>
        </w:rPr>
        <w:t>1</w:t>
      </w:r>
      <w:r>
        <w:rPr>
          <w:rFonts w:hint="eastAsia" w:ascii="仿宋_GB2312" w:hAnsi="仿宋_GB2312"/>
          <w:color w:val="000000"/>
          <w:szCs w:val="32"/>
        </w:rPr>
        <w:t>亿元的先进制造业和现代服务业项目累计超过</w:t>
      </w:r>
      <w:r>
        <w:rPr>
          <w:rFonts w:hint="eastAsia"/>
          <w:szCs w:val="32"/>
        </w:rPr>
        <w:t>5</w:t>
      </w:r>
      <w:r>
        <w:rPr>
          <w:rFonts w:hint="eastAsia" w:ascii="仿宋_GB2312" w:hAnsi="仿宋_GB2312"/>
          <w:color w:val="000000"/>
          <w:szCs w:val="32"/>
        </w:rPr>
        <w:t>个的市州和</w:t>
      </w:r>
      <w:r>
        <w:rPr>
          <w:rFonts w:hint="eastAsia"/>
          <w:szCs w:val="32"/>
        </w:rPr>
        <w:t>2</w:t>
      </w:r>
      <w:r>
        <w:rPr>
          <w:rFonts w:hint="eastAsia" w:ascii="仿宋_GB2312" w:hAnsi="仿宋_GB2312"/>
          <w:color w:val="000000"/>
          <w:szCs w:val="32"/>
        </w:rPr>
        <w:t>个的县市区，最高给予不超过</w:t>
      </w:r>
      <w:r>
        <w:rPr>
          <w:rFonts w:hint="eastAsia"/>
          <w:szCs w:val="32"/>
        </w:rPr>
        <w:t>100</w:t>
      </w:r>
      <w:r>
        <w:rPr>
          <w:rFonts w:hint="eastAsia" w:ascii="仿宋_GB2312" w:hAnsi="仿宋_GB2312"/>
          <w:color w:val="000000"/>
          <w:szCs w:val="32"/>
        </w:rPr>
        <w:t>万元、</w:t>
      </w:r>
      <w:r>
        <w:rPr>
          <w:rFonts w:hint="eastAsia"/>
          <w:szCs w:val="32"/>
        </w:rPr>
        <w:t>50</w:t>
      </w:r>
      <w:r>
        <w:rPr>
          <w:rFonts w:hint="eastAsia" w:ascii="仿宋_GB2312" w:hAnsi="仿宋_GB2312"/>
          <w:color w:val="000000"/>
          <w:szCs w:val="32"/>
        </w:rPr>
        <w:t>万元的奖励。(责任单位：省商务厅、省财政厅)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七、鼓励更大力度引进外资。</w:t>
      </w:r>
      <w:r>
        <w:rPr>
          <w:rFonts w:hint="eastAsia" w:ascii="仿宋_GB2312" w:hAnsi="仿宋_GB2312"/>
          <w:color w:val="000000"/>
          <w:szCs w:val="32"/>
        </w:rPr>
        <w:t>鼓励和支持市州、县市区、园区组团赴境外开展招商对接。对推动标志性外资项目落地、实际利用外商直接投资超过年度目标</w:t>
      </w:r>
      <w:r>
        <w:rPr>
          <w:rFonts w:hint="eastAsia"/>
          <w:szCs w:val="32"/>
        </w:rPr>
        <w:t>1000</w:t>
      </w:r>
      <w:r>
        <w:rPr>
          <w:rFonts w:hint="eastAsia" w:ascii="仿宋_GB2312" w:hAnsi="仿宋_GB2312"/>
          <w:color w:val="000000"/>
          <w:szCs w:val="32"/>
        </w:rPr>
        <w:t>万美元（或等值人民币）以上的市州和超过同类地区平均实际利用外资</w:t>
      </w:r>
      <w:r>
        <w:rPr>
          <w:rFonts w:hint="eastAsia"/>
          <w:szCs w:val="32"/>
        </w:rPr>
        <w:t>10%</w:t>
      </w:r>
      <w:r>
        <w:rPr>
          <w:rFonts w:hint="eastAsia" w:ascii="仿宋_GB2312" w:hAnsi="仿宋_GB2312"/>
          <w:color w:val="000000"/>
          <w:szCs w:val="32"/>
        </w:rPr>
        <w:t>(含)以上的县市区政府，最高奖励</w:t>
      </w:r>
      <w:r>
        <w:rPr>
          <w:rFonts w:hint="eastAsia"/>
          <w:szCs w:val="32"/>
        </w:rPr>
        <w:t>100</w:t>
      </w:r>
      <w:r>
        <w:rPr>
          <w:rFonts w:hint="eastAsia" w:ascii="仿宋_GB2312" w:hAnsi="仿宋_GB2312"/>
          <w:color w:val="000000"/>
          <w:szCs w:val="32"/>
        </w:rPr>
        <w:t>万元、</w:t>
      </w:r>
      <w:r>
        <w:rPr>
          <w:rFonts w:hint="eastAsia"/>
          <w:szCs w:val="32"/>
        </w:rPr>
        <w:t>50</w:t>
      </w:r>
      <w:r>
        <w:rPr>
          <w:rFonts w:hint="eastAsia" w:ascii="仿宋_GB2312" w:hAnsi="仿宋_GB2312"/>
          <w:color w:val="000000"/>
          <w:szCs w:val="32"/>
        </w:rPr>
        <w:t>万元；对市州、县市区、园区创新开展</w:t>
      </w:r>
      <w:r>
        <w:rPr>
          <w:rFonts w:hint="eastAsia"/>
          <w:szCs w:val="32"/>
        </w:rPr>
        <w:t>QFLP</w:t>
      </w:r>
      <w:r>
        <w:rPr>
          <w:rFonts w:hint="eastAsia" w:ascii="仿宋_GB2312" w:hAnsi="仿宋_GB2312"/>
          <w:color w:val="000000"/>
          <w:szCs w:val="32"/>
        </w:rPr>
        <w:t>（合格境外有限合伙人）试点等利用外资新模式且成功引进外资项目的，最高奖励</w:t>
      </w:r>
      <w:r>
        <w:rPr>
          <w:rFonts w:hint="eastAsia"/>
          <w:szCs w:val="32"/>
        </w:rPr>
        <w:t>50</w:t>
      </w:r>
      <w:r>
        <w:rPr>
          <w:rFonts w:hint="eastAsia" w:ascii="仿宋_GB2312" w:hAnsi="仿宋_GB2312"/>
          <w:color w:val="000000"/>
          <w:szCs w:val="32"/>
        </w:rPr>
        <w:t>万元。奖励资金用于开展境外招商等外资投资促进活动。(责任单位：省商务厅、省委外事办、省财政厅)</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八、加大重点项目服务保障。</w:t>
      </w:r>
      <w:r>
        <w:rPr>
          <w:rFonts w:hint="eastAsia" w:ascii="仿宋_GB2312" w:hAnsi="仿宋_GB2312"/>
          <w:color w:val="000000"/>
          <w:szCs w:val="32"/>
        </w:rPr>
        <w:t>健全完善外商投资企业圆桌会议制度，发挥重点外资项目工作专班机制，及时协调解决重点项目推进过程中遇到的困难和问题。对符合全国鼓励外商投资产业目录和中西部地区外商投资优势产业目录(湖南省)的项目给予用地支持。对纳入重点招商引资项目清单管理的重点项目在用地、环保、能源、金融、人才和出入境便利等方面加大支持力度。在用地方面，统筹新增建设用地计划和增减挂钩节余指标，保障项目合理用地需求；县市区耕地占补平衡指标不足的，经所在市州人民政府同意，市州所辖县市区之间可以借支或者协议转让补充耕地指标。(责任单位：省商务厅、省委外事办、省发展改革委、省工业和信息化厅、省财政厅、省自然资源厅、省生态环境厅、省地方金融监督管理局、省贸促会，各市州、县市区人民政府)</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九、创新招商方式。</w:t>
      </w:r>
      <w:r>
        <w:rPr>
          <w:rFonts w:hint="eastAsia" w:ascii="仿宋_GB2312" w:hAnsi="仿宋_GB2312"/>
          <w:color w:val="000000"/>
          <w:szCs w:val="32"/>
        </w:rPr>
        <w:t>鼓励各地采取市场运作模式实施产业链招商信息研究、围绕主特产业开展产业链招商。鼓励设立境外离岸招商工作站。鼓励跨国公司以并购、与本土企业和机构共建创新平台等方式合资合作。鼓励开展基金招商、委托招商、专业机构招商、以商招商等招商方式。(责任单位：省商务厅、省发展改革委、省工业和信息化厅、省财政厅、省地方金融监督管理局、省贸促会)</w:t>
      </w:r>
    </w:p>
    <w:p>
      <w:pPr>
        <w:overflowPunct w:val="0"/>
        <w:spacing w:line="580" w:lineRule="exact"/>
        <w:rPr>
          <w:rFonts w:hint="eastAsia" w:ascii="黑体" w:hAnsi="黑体" w:eastAsia="黑体"/>
          <w:color w:val="000000"/>
          <w:szCs w:val="32"/>
        </w:rPr>
      </w:pPr>
      <w:r>
        <w:rPr>
          <w:rFonts w:hint="eastAsia" w:ascii="黑体" w:hAnsi="黑体" w:eastAsia="黑体"/>
          <w:color w:val="000000"/>
          <w:szCs w:val="32"/>
        </w:rPr>
        <w:t>十、持续优化投资环境。</w:t>
      </w:r>
      <w:r>
        <w:rPr>
          <w:rFonts w:hint="eastAsia" w:ascii="仿宋_GB2312" w:hAnsi="仿宋_GB2312"/>
          <w:color w:val="000000"/>
          <w:szCs w:val="32"/>
        </w:rPr>
        <w:t>依法保护外来投资企业知识产权，依法稳妥处理好企业投诉，有效维护投资者权益。保障外商投资企业依法参与政府采购活动及标准制定工作，统筹优化涉外商投资企业执法检查。鼓励市州、县市区和园区依托地方资源优势和产业发展规划，制定具有创新性、可操作性和有利于地方经济社会发展的招商引资优惠政策。(责任单位：省发展改革委、省财政厅、省商务厅、省市场监管局，各市州、县市区人民政府，其他省直部门)</w:t>
      </w:r>
    </w:p>
    <w:p>
      <w:pPr>
        <w:overflowPunct w:val="0"/>
        <w:spacing w:line="580" w:lineRule="exact"/>
        <w:rPr>
          <w:rFonts w:hint="eastAsia" w:ascii="仿宋_GB2312" w:hAnsi="仿宋_GB2312"/>
          <w:color w:val="000000"/>
          <w:szCs w:val="32"/>
        </w:rPr>
      </w:pPr>
      <w:r>
        <w:rPr>
          <w:rFonts w:hint="eastAsia" w:ascii="仿宋_GB2312" w:hAnsi="仿宋_GB2312"/>
          <w:color w:val="000000"/>
          <w:szCs w:val="32"/>
        </w:rPr>
        <w:t>本政策措施各项奖励条款中，除“一事一议”支持的项目外，单个企业同时符合多个项目奖励条款的，可以叠加享受奖励。已享受过同类政策支持的项目，不再重复享受，奖励金额累计不超过</w:t>
      </w:r>
      <w:r>
        <w:rPr>
          <w:rFonts w:hint="eastAsia"/>
          <w:szCs w:val="32"/>
        </w:rPr>
        <w:t>2000</w:t>
      </w:r>
      <w:r>
        <w:rPr>
          <w:rFonts w:hint="eastAsia" w:ascii="仿宋_GB2312" w:hAnsi="仿宋_GB2312" w:cs="仿宋_GB2312"/>
          <w:szCs w:val="32"/>
        </w:rPr>
        <w:t>万</w:t>
      </w:r>
      <w:r>
        <w:rPr>
          <w:rFonts w:hint="eastAsia" w:ascii="仿宋_GB2312" w:hAnsi="仿宋_GB2312"/>
          <w:color w:val="000000"/>
          <w:szCs w:val="32"/>
        </w:rPr>
        <w:t>元。奖励到市州、县市区和园区的资金只能用于招商引资工作。</w:t>
      </w:r>
    </w:p>
    <w:p>
      <w:pPr>
        <w:spacing w:line="580" w:lineRule="exact"/>
        <w:rPr>
          <w:rFonts w:hint="eastAsia"/>
          <w:kern w:val="0"/>
          <w:szCs w:val="32"/>
        </w:rPr>
      </w:pPr>
      <w:r>
        <w:rPr>
          <w:rFonts w:hint="eastAsia" w:ascii="仿宋_GB2312" w:hAnsi="仿宋_GB2312"/>
          <w:color w:val="000000"/>
          <w:szCs w:val="32"/>
        </w:rPr>
        <w:t>本政策措施自发布之日起施行，有效期</w:t>
      </w:r>
      <w:r>
        <w:rPr>
          <w:rFonts w:hint="eastAsia"/>
          <w:szCs w:val="32"/>
        </w:rPr>
        <w:t>3</w:t>
      </w:r>
      <w:r>
        <w:rPr>
          <w:rFonts w:hint="eastAsia" w:ascii="仿宋_GB2312" w:hAnsi="仿宋_GB2312"/>
          <w:color w:val="000000"/>
          <w:szCs w:val="32"/>
        </w:rPr>
        <w:t>年，湖南省人民政府办公厅《关于印发&lt;湖南省进一步加强招商引资工作的若干政策措施&gt;的通知》（湘政办发</w:t>
      </w:r>
      <w:r>
        <w:rPr>
          <w:rFonts w:hint="eastAsia" w:ascii="仿宋_GB2312" w:hAnsi="仿宋_GB2312" w:cs="仿宋_GB2312"/>
          <w:szCs w:val="32"/>
        </w:rPr>
        <w:t>〔</w:t>
      </w:r>
      <w:r>
        <w:rPr>
          <w:rFonts w:hint="eastAsia"/>
          <w:szCs w:val="32"/>
        </w:rPr>
        <w:t>2020</w:t>
      </w:r>
      <w:r>
        <w:rPr>
          <w:rFonts w:hint="eastAsia" w:ascii="仿宋_GB2312" w:hAnsi="仿宋_GB2312" w:cs="仿宋_GB2312"/>
          <w:szCs w:val="32"/>
        </w:rPr>
        <w:t>〕</w:t>
      </w:r>
      <w:r>
        <w:rPr>
          <w:rFonts w:hint="eastAsia"/>
          <w:szCs w:val="32"/>
        </w:rPr>
        <w:t>38</w:t>
      </w:r>
      <w:r>
        <w:rPr>
          <w:rFonts w:hint="eastAsia" w:ascii="仿宋_GB2312" w:hAnsi="仿宋_GB2312"/>
          <w:color w:val="000000"/>
          <w:szCs w:val="32"/>
        </w:rPr>
        <w:t>号）同时废止。此前奖励政策与本政策不一致的，按本政策执行。</w:t>
      </w:r>
    </w:p>
    <w:p>
      <w:pPr>
        <w:pStyle w:val="21"/>
        <w:spacing w:line="600" w:lineRule="exact"/>
        <w:rPr>
          <w:rFonts w:eastAsia="仿宋_GB2312"/>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firstLine="560"/>
      <w:rPr>
        <w:rStyle w:val="18"/>
        <w:rFonts w:hint="eastAsia" w:ascii="仿宋_GB2312"/>
        <w:sz w:val="28"/>
        <w:szCs w:val="28"/>
      </w:rPr>
    </w:pPr>
    <w:r>
      <w:rPr>
        <w:rStyle w:val="18"/>
        <w:rFonts w:hint="eastAsia" w:ascii="仿宋_GB2312"/>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lang/>
      </w:rPr>
      <w:t>6</w:t>
    </w:r>
    <w:r>
      <w:rPr>
        <w:rStyle w:val="18"/>
        <w:sz w:val="28"/>
        <w:szCs w:val="28"/>
      </w:rPr>
      <w:fldChar w:fldCharType="end"/>
    </w:r>
    <w:r>
      <w:rPr>
        <w:rStyle w:val="18"/>
        <w:rFonts w:hint="eastAsia" w:ascii="仿宋_GB2312"/>
        <w:sz w:val="28"/>
        <w:szCs w:val="28"/>
      </w:rPr>
      <w:t xml:space="preserve"> —</w:t>
    </w:r>
  </w:p>
  <w:p>
    <w:pPr>
      <w:pStyle w:val="11"/>
      <w:tabs>
        <w:tab w:val="left" w:pos="6197"/>
        <w:tab w:val="clear" w:pos="4153"/>
      </w:tabs>
      <w:ind w:right="360" w:firstLine="560"/>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margin">
                <wp:posOffset>2924810</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30.3pt;margin-top:0.65pt;height:144pt;width:144pt;mso-position-horizontal-relative:margin;mso-wrap-style:none;z-index:251659264;mso-width-relative:page;mso-height-relative:page;" filled="f" stroked="f" coordsize="21600,21600" o:gfxdata="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&#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31CNNYAAAAJAQAADwAAAAAAAAABACAAAAAiAAAA&#10;ZHJzL2Rvd25yZXYueG1sUEsBAhQAFAAAAAgAh07iQIvhV3XQAQAAogMAAA4AAAAAAAAAAQAgAAAA&#10;JQEAAGRycy9lMm9Eb2MueG1sUEsFBgAAAAAGAAYAWQEAAGc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firstLine="360"/>
      <w:rPr>
        <w:rStyle w:val="18"/>
      </w:rPr>
    </w:pPr>
    <w:r>
      <w:rPr>
        <w:rStyle w:val="18"/>
      </w:rPr>
      <w:fldChar w:fldCharType="begin"/>
    </w:r>
    <w:r>
      <w:rPr>
        <w:rStyle w:val="18"/>
      </w:rPr>
      <w:instrText xml:space="preserve">PAGE  </w:instrText>
    </w:r>
    <w:r>
      <w:rPr>
        <w:rStyle w:val="18"/>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65448E"/>
    <w:rsid w:val="000C079D"/>
    <w:rsid w:val="001430B5"/>
    <w:rsid w:val="001B7F2E"/>
    <w:rsid w:val="001C78B6"/>
    <w:rsid w:val="00225348"/>
    <w:rsid w:val="0029485E"/>
    <w:rsid w:val="002E7ACF"/>
    <w:rsid w:val="00332AD9"/>
    <w:rsid w:val="003A1AF9"/>
    <w:rsid w:val="0050648E"/>
    <w:rsid w:val="005279B7"/>
    <w:rsid w:val="00533DB1"/>
    <w:rsid w:val="005C5D6B"/>
    <w:rsid w:val="00674CE2"/>
    <w:rsid w:val="006A7C75"/>
    <w:rsid w:val="007362D6"/>
    <w:rsid w:val="007425F4"/>
    <w:rsid w:val="00794CDF"/>
    <w:rsid w:val="007A1D80"/>
    <w:rsid w:val="007C1864"/>
    <w:rsid w:val="0096327C"/>
    <w:rsid w:val="00A43F68"/>
    <w:rsid w:val="00A84BAD"/>
    <w:rsid w:val="00A95E1F"/>
    <w:rsid w:val="00B16E3A"/>
    <w:rsid w:val="00BA1601"/>
    <w:rsid w:val="00BD1A7B"/>
    <w:rsid w:val="00C14300"/>
    <w:rsid w:val="00C7141A"/>
    <w:rsid w:val="00C90DD8"/>
    <w:rsid w:val="00CE50F8"/>
    <w:rsid w:val="00CF2C1A"/>
    <w:rsid w:val="00CF3D5A"/>
    <w:rsid w:val="00CF543A"/>
    <w:rsid w:val="00DA01FD"/>
    <w:rsid w:val="00DC2764"/>
    <w:rsid w:val="00E32A61"/>
    <w:rsid w:val="00E3319D"/>
    <w:rsid w:val="00EF4ADB"/>
    <w:rsid w:val="00F06FD1"/>
    <w:rsid w:val="00F13655"/>
    <w:rsid w:val="00F36B1E"/>
    <w:rsid w:val="03DFE39F"/>
    <w:rsid w:val="07FF50AA"/>
    <w:rsid w:val="0CDFCB1E"/>
    <w:rsid w:val="0E3641B6"/>
    <w:rsid w:val="0EAFD65A"/>
    <w:rsid w:val="0EBD1CC8"/>
    <w:rsid w:val="0F45D2CD"/>
    <w:rsid w:val="0FBDA55C"/>
    <w:rsid w:val="17DC5F82"/>
    <w:rsid w:val="17EE1FA3"/>
    <w:rsid w:val="1B3798FF"/>
    <w:rsid w:val="1B7EDDBE"/>
    <w:rsid w:val="1CDCD712"/>
    <w:rsid w:val="1CF695C5"/>
    <w:rsid w:val="1D3F0D3A"/>
    <w:rsid w:val="1D4F0E73"/>
    <w:rsid w:val="1DFFCDD7"/>
    <w:rsid w:val="1E8F6C8A"/>
    <w:rsid w:val="1EFBF5F5"/>
    <w:rsid w:val="1F7EB3FE"/>
    <w:rsid w:val="1FBE266A"/>
    <w:rsid w:val="1FEF0979"/>
    <w:rsid w:val="26793F8F"/>
    <w:rsid w:val="27FB9C93"/>
    <w:rsid w:val="27FEB948"/>
    <w:rsid w:val="2BB6498A"/>
    <w:rsid w:val="2BFF7991"/>
    <w:rsid w:val="2DB5BB78"/>
    <w:rsid w:val="2EC79D88"/>
    <w:rsid w:val="2F17DB71"/>
    <w:rsid w:val="2FA705F5"/>
    <w:rsid w:val="2FCA979A"/>
    <w:rsid w:val="2FEF7AC7"/>
    <w:rsid w:val="2FF9C0D5"/>
    <w:rsid w:val="31B67D89"/>
    <w:rsid w:val="31B95FFF"/>
    <w:rsid w:val="3407D165"/>
    <w:rsid w:val="367E60C7"/>
    <w:rsid w:val="37ACB763"/>
    <w:rsid w:val="37DF063E"/>
    <w:rsid w:val="37F34C58"/>
    <w:rsid w:val="37FDCEDA"/>
    <w:rsid w:val="3838112F"/>
    <w:rsid w:val="39CF8A3B"/>
    <w:rsid w:val="39FA91D5"/>
    <w:rsid w:val="3B6F14E2"/>
    <w:rsid w:val="3BDF2FA6"/>
    <w:rsid w:val="3BDF85EA"/>
    <w:rsid w:val="3BFF23F9"/>
    <w:rsid w:val="3C6E914F"/>
    <w:rsid w:val="3D6E7DB7"/>
    <w:rsid w:val="3D7F6F28"/>
    <w:rsid w:val="3DB396CD"/>
    <w:rsid w:val="3DBE1A4F"/>
    <w:rsid w:val="3DD251B5"/>
    <w:rsid w:val="3EEF9B92"/>
    <w:rsid w:val="3EFBD723"/>
    <w:rsid w:val="3F1E40D7"/>
    <w:rsid w:val="3F4C2B04"/>
    <w:rsid w:val="3F77220B"/>
    <w:rsid w:val="3FB340A2"/>
    <w:rsid w:val="3FB7AFDB"/>
    <w:rsid w:val="3FD3EC6D"/>
    <w:rsid w:val="3FDFD632"/>
    <w:rsid w:val="3FE7CF46"/>
    <w:rsid w:val="3FEFFCCF"/>
    <w:rsid w:val="3FF6A4C4"/>
    <w:rsid w:val="3FFF3FF7"/>
    <w:rsid w:val="465DB81D"/>
    <w:rsid w:val="473F4D0D"/>
    <w:rsid w:val="47BF24E6"/>
    <w:rsid w:val="4977D5E9"/>
    <w:rsid w:val="49FB2DFC"/>
    <w:rsid w:val="49FF78A0"/>
    <w:rsid w:val="4B7EBD13"/>
    <w:rsid w:val="4BD96F05"/>
    <w:rsid w:val="4BF38A8F"/>
    <w:rsid w:val="4BFFE185"/>
    <w:rsid w:val="4CDA1152"/>
    <w:rsid w:val="4DEE3E06"/>
    <w:rsid w:val="4E7C9DEB"/>
    <w:rsid w:val="4F2D75E8"/>
    <w:rsid w:val="4F7FF4D2"/>
    <w:rsid w:val="4FB49EE5"/>
    <w:rsid w:val="4FDB784F"/>
    <w:rsid w:val="4FDF19F3"/>
    <w:rsid w:val="4FF0B5A3"/>
    <w:rsid w:val="4FFA428F"/>
    <w:rsid w:val="53CEBA95"/>
    <w:rsid w:val="54DF61B8"/>
    <w:rsid w:val="565DF958"/>
    <w:rsid w:val="5678F12A"/>
    <w:rsid w:val="56C7B034"/>
    <w:rsid w:val="56DFE5EF"/>
    <w:rsid w:val="57A753B8"/>
    <w:rsid w:val="57B7195E"/>
    <w:rsid w:val="57FF9634"/>
    <w:rsid w:val="58675EEB"/>
    <w:rsid w:val="59B59762"/>
    <w:rsid w:val="59F90771"/>
    <w:rsid w:val="59FB54A6"/>
    <w:rsid w:val="5B7DE16D"/>
    <w:rsid w:val="5BAF01B4"/>
    <w:rsid w:val="5BDF2008"/>
    <w:rsid w:val="5BFEE462"/>
    <w:rsid w:val="5CEDFF14"/>
    <w:rsid w:val="5CEFA9AA"/>
    <w:rsid w:val="5D3F7A78"/>
    <w:rsid w:val="5D9EB52C"/>
    <w:rsid w:val="5DB3F391"/>
    <w:rsid w:val="5DFF1521"/>
    <w:rsid w:val="5DFFA820"/>
    <w:rsid w:val="5E3B69D7"/>
    <w:rsid w:val="5E962051"/>
    <w:rsid w:val="5EC1AD91"/>
    <w:rsid w:val="5ED54DA3"/>
    <w:rsid w:val="5EDD9EC6"/>
    <w:rsid w:val="5EDF2DD5"/>
    <w:rsid w:val="5EF61B55"/>
    <w:rsid w:val="5EF830FE"/>
    <w:rsid w:val="5F4F8BF3"/>
    <w:rsid w:val="5F5EFE65"/>
    <w:rsid w:val="5F6F072B"/>
    <w:rsid w:val="5F77E0F6"/>
    <w:rsid w:val="5F7E716B"/>
    <w:rsid w:val="5FAFE477"/>
    <w:rsid w:val="5FBF1546"/>
    <w:rsid w:val="5FBF6672"/>
    <w:rsid w:val="5FBFC423"/>
    <w:rsid w:val="5FCB2145"/>
    <w:rsid w:val="5FCE0697"/>
    <w:rsid w:val="5FCF6F70"/>
    <w:rsid w:val="5FDB1380"/>
    <w:rsid w:val="5FDEE5C2"/>
    <w:rsid w:val="5FDF8934"/>
    <w:rsid w:val="5FEE7228"/>
    <w:rsid w:val="5FF3C331"/>
    <w:rsid w:val="5FF68591"/>
    <w:rsid w:val="5FF7E7F8"/>
    <w:rsid w:val="5FFA5FAA"/>
    <w:rsid w:val="5FFB7C3D"/>
    <w:rsid w:val="603FB792"/>
    <w:rsid w:val="62F9860A"/>
    <w:rsid w:val="62FFB8FE"/>
    <w:rsid w:val="633EAFAE"/>
    <w:rsid w:val="63BBE4D7"/>
    <w:rsid w:val="63FB1071"/>
    <w:rsid w:val="63FF8B42"/>
    <w:rsid w:val="64071DEF"/>
    <w:rsid w:val="64FE644C"/>
    <w:rsid w:val="650EF335"/>
    <w:rsid w:val="65AE6B70"/>
    <w:rsid w:val="65B6AEFE"/>
    <w:rsid w:val="65FF986C"/>
    <w:rsid w:val="677F74DC"/>
    <w:rsid w:val="67AFA3DE"/>
    <w:rsid w:val="67DD3512"/>
    <w:rsid w:val="67F6C5A0"/>
    <w:rsid w:val="67FEC427"/>
    <w:rsid w:val="68FF6697"/>
    <w:rsid w:val="6A2DE1B1"/>
    <w:rsid w:val="6B37C606"/>
    <w:rsid w:val="6BB45E51"/>
    <w:rsid w:val="6BB90A8E"/>
    <w:rsid w:val="6BDB04E7"/>
    <w:rsid w:val="6BFD57BE"/>
    <w:rsid w:val="6BFF6B03"/>
    <w:rsid w:val="6D2EC910"/>
    <w:rsid w:val="6D7F8684"/>
    <w:rsid w:val="6DDFA897"/>
    <w:rsid w:val="6DF70A27"/>
    <w:rsid w:val="6E77D212"/>
    <w:rsid w:val="6EB7FD36"/>
    <w:rsid w:val="6EDDE54C"/>
    <w:rsid w:val="6EEFACB2"/>
    <w:rsid w:val="6F3D827B"/>
    <w:rsid w:val="6F5F1303"/>
    <w:rsid w:val="6F7F1E2D"/>
    <w:rsid w:val="6F7F318D"/>
    <w:rsid w:val="6F7FFF4A"/>
    <w:rsid w:val="6F87751C"/>
    <w:rsid w:val="6F97350B"/>
    <w:rsid w:val="6F9D486B"/>
    <w:rsid w:val="6FAF2150"/>
    <w:rsid w:val="6FB7CF1B"/>
    <w:rsid w:val="6FCD4717"/>
    <w:rsid w:val="6FD7E54A"/>
    <w:rsid w:val="6FD92B86"/>
    <w:rsid w:val="6FDDC305"/>
    <w:rsid w:val="6FDE757E"/>
    <w:rsid w:val="6FE901D9"/>
    <w:rsid w:val="6FE9EA5C"/>
    <w:rsid w:val="6FF3F64B"/>
    <w:rsid w:val="6FFCFFBD"/>
    <w:rsid w:val="716935C2"/>
    <w:rsid w:val="7257DFF5"/>
    <w:rsid w:val="727ABD75"/>
    <w:rsid w:val="72F37CE3"/>
    <w:rsid w:val="72F83B80"/>
    <w:rsid w:val="72FA8E09"/>
    <w:rsid w:val="737ADC4D"/>
    <w:rsid w:val="737FA30A"/>
    <w:rsid w:val="739D46C7"/>
    <w:rsid w:val="73B91CD9"/>
    <w:rsid w:val="73BF4735"/>
    <w:rsid w:val="73CDA650"/>
    <w:rsid w:val="73D73D70"/>
    <w:rsid w:val="73F0B6A2"/>
    <w:rsid w:val="74DF544C"/>
    <w:rsid w:val="74FE4BCD"/>
    <w:rsid w:val="74FFB480"/>
    <w:rsid w:val="74FFDEEA"/>
    <w:rsid w:val="75EE7FA1"/>
    <w:rsid w:val="75EFA9E9"/>
    <w:rsid w:val="75FE6E46"/>
    <w:rsid w:val="767CF996"/>
    <w:rsid w:val="76C73736"/>
    <w:rsid w:val="76D3CC42"/>
    <w:rsid w:val="76FB7174"/>
    <w:rsid w:val="776EF606"/>
    <w:rsid w:val="7777766C"/>
    <w:rsid w:val="777BFD3B"/>
    <w:rsid w:val="77BB4FDF"/>
    <w:rsid w:val="77BCED57"/>
    <w:rsid w:val="77DF2222"/>
    <w:rsid w:val="77EFF466"/>
    <w:rsid w:val="77F39EE2"/>
    <w:rsid w:val="77F6E420"/>
    <w:rsid w:val="77F7D2D7"/>
    <w:rsid w:val="77FBA377"/>
    <w:rsid w:val="77FFDB1C"/>
    <w:rsid w:val="77FFF7BD"/>
    <w:rsid w:val="78BB2267"/>
    <w:rsid w:val="78FF93F1"/>
    <w:rsid w:val="78FFBD4A"/>
    <w:rsid w:val="794E865A"/>
    <w:rsid w:val="796FCE7E"/>
    <w:rsid w:val="799F7A10"/>
    <w:rsid w:val="79B98108"/>
    <w:rsid w:val="79F31994"/>
    <w:rsid w:val="7A5FF2EB"/>
    <w:rsid w:val="7A77DDDC"/>
    <w:rsid w:val="7ADDC7E9"/>
    <w:rsid w:val="7AF6E73D"/>
    <w:rsid w:val="7AFBDF0C"/>
    <w:rsid w:val="7AFDFE6E"/>
    <w:rsid w:val="7AFF5F9B"/>
    <w:rsid w:val="7B4685D6"/>
    <w:rsid w:val="7B63D7BA"/>
    <w:rsid w:val="7B6FC967"/>
    <w:rsid w:val="7BC8B0CB"/>
    <w:rsid w:val="7BCE1A1E"/>
    <w:rsid w:val="7BD71C22"/>
    <w:rsid w:val="7BEB286C"/>
    <w:rsid w:val="7BFAF83E"/>
    <w:rsid w:val="7BFB6AC9"/>
    <w:rsid w:val="7BFBC8EC"/>
    <w:rsid w:val="7BFF1D8E"/>
    <w:rsid w:val="7C51FD6C"/>
    <w:rsid w:val="7CD94554"/>
    <w:rsid w:val="7CEB8E66"/>
    <w:rsid w:val="7CFB6E48"/>
    <w:rsid w:val="7D7F8356"/>
    <w:rsid w:val="7DBC9E97"/>
    <w:rsid w:val="7DCF4439"/>
    <w:rsid w:val="7DDE997D"/>
    <w:rsid w:val="7DE374BF"/>
    <w:rsid w:val="7DECD9F7"/>
    <w:rsid w:val="7DFAD11B"/>
    <w:rsid w:val="7DFE7502"/>
    <w:rsid w:val="7E3B8F1B"/>
    <w:rsid w:val="7E4DB3AA"/>
    <w:rsid w:val="7E5F92F3"/>
    <w:rsid w:val="7E76B10A"/>
    <w:rsid w:val="7E7CBF63"/>
    <w:rsid w:val="7EA60533"/>
    <w:rsid w:val="7EAAF1FA"/>
    <w:rsid w:val="7EABE4F9"/>
    <w:rsid w:val="7EB67749"/>
    <w:rsid w:val="7EB94FFD"/>
    <w:rsid w:val="7EBDAEF3"/>
    <w:rsid w:val="7EDE4ED7"/>
    <w:rsid w:val="7EDFC08E"/>
    <w:rsid w:val="7EEE57FA"/>
    <w:rsid w:val="7EFBA123"/>
    <w:rsid w:val="7EFDEF68"/>
    <w:rsid w:val="7EFEA73E"/>
    <w:rsid w:val="7EFF71D3"/>
    <w:rsid w:val="7F04A166"/>
    <w:rsid w:val="7F1F98F2"/>
    <w:rsid w:val="7F395061"/>
    <w:rsid w:val="7F3F303B"/>
    <w:rsid w:val="7F4FD614"/>
    <w:rsid w:val="7F59C20A"/>
    <w:rsid w:val="7F6D95DB"/>
    <w:rsid w:val="7F6FD1D3"/>
    <w:rsid w:val="7F748FD6"/>
    <w:rsid w:val="7F755609"/>
    <w:rsid w:val="7F764E3B"/>
    <w:rsid w:val="7F7F9199"/>
    <w:rsid w:val="7F972EFB"/>
    <w:rsid w:val="7FA79ABF"/>
    <w:rsid w:val="7FAE425D"/>
    <w:rsid w:val="7FAF2E95"/>
    <w:rsid w:val="7FB70B1D"/>
    <w:rsid w:val="7FB7AF85"/>
    <w:rsid w:val="7FB7D918"/>
    <w:rsid w:val="7FB98E78"/>
    <w:rsid w:val="7FB9E2F3"/>
    <w:rsid w:val="7FBF1CEE"/>
    <w:rsid w:val="7FBF8B18"/>
    <w:rsid w:val="7FCD5B44"/>
    <w:rsid w:val="7FD8166B"/>
    <w:rsid w:val="7FDB888C"/>
    <w:rsid w:val="7FDF5055"/>
    <w:rsid w:val="7FDF9B63"/>
    <w:rsid w:val="7FDFBFE0"/>
    <w:rsid w:val="7FE63F92"/>
    <w:rsid w:val="7FE8651E"/>
    <w:rsid w:val="7FEA4857"/>
    <w:rsid w:val="7FEF9BD9"/>
    <w:rsid w:val="7FF60D18"/>
    <w:rsid w:val="7FFBB519"/>
    <w:rsid w:val="7FFBF4A4"/>
    <w:rsid w:val="7FFDBCC4"/>
    <w:rsid w:val="7FFDF725"/>
    <w:rsid w:val="7FFF8728"/>
    <w:rsid w:val="7FFFC843"/>
    <w:rsid w:val="87F414E1"/>
    <w:rsid w:val="89BFCF15"/>
    <w:rsid w:val="91EF051A"/>
    <w:rsid w:val="93F1AA89"/>
    <w:rsid w:val="95978870"/>
    <w:rsid w:val="97BF0B1E"/>
    <w:rsid w:val="9B2FFD70"/>
    <w:rsid w:val="9BCE125F"/>
    <w:rsid w:val="9BFE7357"/>
    <w:rsid w:val="9DDDADCA"/>
    <w:rsid w:val="9E4F5512"/>
    <w:rsid w:val="9E7E4801"/>
    <w:rsid w:val="9FEB6BC1"/>
    <w:rsid w:val="9FFD0B86"/>
    <w:rsid w:val="A3CC3900"/>
    <w:rsid w:val="A83DE56A"/>
    <w:rsid w:val="AB4E5EA9"/>
    <w:rsid w:val="ABFE37A8"/>
    <w:rsid w:val="AE7BA10C"/>
    <w:rsid w:val="AE7EA731"/>
    <w:rsid w:val="AED76A9B"/>
    <w:rsid w:val="AF67439B"/>
    <w:rsid w:val="AF7E76CA"/>
    <w:rsid w:val="AF7F1220"/>
    <w:rsid w:val="AFDD24AC"/>
    <w:rsid w:val="AFDF37D8"/>
    <w:rsid w:val="B1FEC079"/>
    <w:rsid w:val="B1FFA022"/>
    <w:rsid w:val="B4FD10D9"/>
    <w:rsid w:val="B56F0F17"/>
    <w:rsid w:val="B5D7400D"/>
    <w:rsid w:val="B5D7B847"/>
    <w:rsid w:val="B6FD276D"/>
    <w:rsid w:val="B71F84B3"/>
    <w:rsid w:val="B7E97C11"/>
    <w:rsid w:val="B7EE1C9A"/>
    <w:rsid w:val="B7FC38F3"/>
    <w:rsid w:val="B7FF208F"/>
    <w:rsid w:val="B8251C52"/>
    <w:rsid w:val="B87FBA2E"/>
    <w:rsid w:val="B8FF952B"/>
    <w:rsid w:val="B9D70967"/>
    <w:rsid w:val="B9DA355B"/>
    <w:rsid w:val="BA4E6495"/>
    <w:rsid w:val="BAFBD3A2"/>
    <w:rsid w:val="BBBD10B6"/>
    <w:rsid w:val="BBBD7CB6"/>
    <w:rsid w:val="BBFDA241"/>
    <w:rsid w:val="BBFEED74"/>
    <w:rsid w:val="BBFF42D6"/>
    <w:rsid w:val="BC9E2B92"/>
    <w:rsid w:val="BCFB854E"/>
    <w:rsid w:val="BD7FF72A"/>
    <w:rsid w:val="BDDF7455"/>
    <w:rsid w:val="BDF367DC"/>
    <w:rsid w:val="BDFBB8A5"/>
    <w:rsid w:val="BED749BD"/>
    <w:rsid w:val="BEFB7358"/>
    <w:rsid w:val="BEFE8EEA"/>
    <w:rsid w:val="BF2B3B5E"/>
    <w:rsid w:val="BF5B6D93"/>
    <w:rsid w:val="BF6FB226"/>
    <w:rsid w:val="BF7959C3"/>
    <w:rsid w:val="BF7E7958"/>
    <w:rsid w:val="BF7F7737"/>
    <w:rsid w:val="BF8F0DA3"/>
    <w:rsid w:val="BFA505EC"/>
    <w:rsid w:val="BFAB5183"/>
    <w:rsid w:val="BFBF86CA"/>
    <w:rsid w:val="BFBF89EE"/>
    <w:rsid w:val="BFD77872"/>
    <w:rsid w:val="BFDB4A55"/>
    <w:rsid w:val="BFDE5515"/>
    <w:rsid w:val="BFED10E0"/>
    <w:rsid w:val="BFF0096B"/>
    <w:rsid w:val="BFF10A71"/>
    <w:rsid w:val="BFF30AA4"/>
    <w:rsid w:val="BFFB7315"/>
    <w:rsid w:val="BFFBC5BC"/>
    <w:rsid w:val="BFFC9929"/>
    <w:rsid w:val="BFFF1B91"/>
    <w:rsid w:val="BFFFB6C9"/>
    <w:rsid w:val="BFFFFFD3"/>
    <w:rsid w:val="C2E55CBA"/>
    <w:rsid w:val="C3B21831"/>
    <w:rsid w:val="C5FFFACB"/>
    <w:rsid w:val="C7E93A68"/>
    <w:rsid w:val="C7EFED22"/>
    <w:rsid w:val="C9918F67"/>
    <w:rsid w:val="CABF682C"/>
    <w:rsid w:val="CAFF474B"/>
    <w:rsid w:val="CBBBC95A"/>
    <w:rsid w:val="CBF390AB"/>
    <w:rsid w:val="CBFCD24B"/>
    <w:rsid w:val="CBFFC364"/>
    <w:rsid w:val="CD7B4105"/>
    <w:rsid w:val="CD9F7AB5"/>
    <w:rsid w:val="CEDDF75A"/>
    <w:rsid w:val="CEDFC074"/>
    <w:rsid w:val="CEF7075C"/>
    <w:rsid w:val="CEFE6391"/>
    <w:rsid w:val="CF276BF0"/>
    <w:rsid w:val="CFEB2DE5"/>
    <w:rsid w:val="D2DF72D2"/>
    <w:rsid w:val="D399EE3B"/>
    <w:rsid w:val="D39F14AA"/>
    <w:rsid w:val="D3EB1EFE"/>
    <w:rsid w:val="D3F7E2F8"/>
    <w:rsid w:val="D4FE7B3E"/>
    <w:rsid w:val="D57B91FA"/>
    <w:rsid w:val="D5AD9888"/>
    <w:rsid w:val="D5BC6BEA"/>
    <w:rsid w:val="D5FD9005"/>
    <w:rsid w:val="D6FC2FA8"/>
    <w:rsid w:val="D76B00A3"/>
    <w:rsid w:val="D7762EFA"/>
    <w:rsid w:val="D7D3127C"/>
    <w:rsid w:val="D7DDCEF6"/>
    <w:rsid w:val="D7FE5F5F"/>
    <w:rsid w:val="D7FF4EEA"/>
    <w:rsid w:val="D87D7DB0"/>
    <w:rsid w:val="DAEBAA16"/>
    <w:rsid w:val="DB5762AF"/>
    <w:rsid w:val="DB65448E"/>
    <w:rsid w:val="DB6D90F0"/>
    <w:rsid w:val="DB6E0889"/>
    <w:rsid w:val="DBBFDF75"/>
    <w:rsid w:val="DBDBD573"/>
    <w:rsid w:val="DD6EF7D2"/>
    <w:rsid w:val="DD72ADAA"/>
    <w:rsid w:val="DD7D0825"/>
    <w:rsid w:val="DD97F72A"/>
    <w:rsid w:val="DDAF90B8"/>
    <w:rsid w:val="DDCE3CEA"/>
    <w:rsid w:val="DDFD8773"/>
    <w:rsid w:val="DDFF4BE2"/>
    <w:rsid w:val="DDFFDF8C"/>
    <w:rsid w:val="DE927C6C"/>
    <w:rsid w:val="DEA73CD0"/>
    <w:rsid w:val="DEBFAD46"/>
    <w:rsid w:val="DEDEF338"/>
    <w:rsid w:val="DEEFBAF0"/>
    <w:rsid w:val="DEF46714"/>
    <w:rsid w:val="DEFD7AAE"/>
    <w:rsid w:val="DF1F5A9A"/>
    <w:rsid w:val="DF5F2219"/>
    <w:rsid w:val="DF5F9E48"/>
    <w:rsid w:val="DF7D2890"/>
    <w:rsid w:val="DF7F0A14"/>
    <w:rsid w:val="DF7F6BBC"/>
    <w:rsid w:val="DF7FDAD6"/>
    <w:rsid w:val="DFB76EA1"/>
    <w:rsid w:val="DFC94E20"/>
    <w:rsid w:val="DFC97E0D"/>
    <w:rsid w:val="DFD354F9"/>
    <w:rsid w:val="DFD9CA13"/>
    <w:rsid w:val="DFDED073"/>
    <w:rsid w:val="DFF75742"/>
    <w:rsid w:val="DFFF5CF1"/>
    <w:rsid w:val="E1D3CDEE"/>
    <w:rsid w:val="E29FD3BB"/>
    <w:rsid w:val="E7AF503A"/>
    <w:rsid w:val="E7BE1035"/>
    <w:rsid w:val="E7C6B09C"/>
    <w:rsid w:val="E7DF1E1B"/>
    <w:rsid w:val="E7DFBDB8"/>
    <w:rsid w:val="E7EBCED7"/>
    <w:rsid w:val="E7EDDB9F"/>
    <w:rsid w:val="E87BCB31"/>
    <w:rsid w:val="E87E7750"/>
    <w:rsid w:val="E95A79D8"/>
    <w:rsid w:val="E9DE1B0F"/>
    <w:rsid w:val="E9E79A2B"/>
    <w:rsid w:val="E9FE43EE"/>
    <w:rsid w:val="E9FEE994"/>
    <w:rsid w:val="EAAF32A6"/>
    <w:rsid w:val="EAFD43EB"/>
    <w:rsid w:val="EB5A0759"/>
    <w:rsid w:val="EBDD5916"/>
    <w:rsid w:val="EBDF781F"/>
    <w:rsid w:val="EBEB88F2"/>
    <w:rsid w:val="EBFB98A3"/>
    <w:rsid w:val="EBFD271F"/>
    <w:rsid w:val="ECDEC62A"/>
    <w:rsid w:val="EDB41BF3"/>
    <w:rsid w:val="EDFB67F4"/>
    <w:rsid w:val="EDFCEBF8"/>
    <w:rsid w:val="EE3F1A19"/>
    <w:rsid w:val="EE7F42F1"/>
    <w:rsid w:val="EE7FC614"/>
    <w:rsid w:val="EEBF21DF"/>
    <w:rsid w:val="EEF7464D"/>
    <w:rsid w:val="EEF7AADF"/>
    <w:rsid w:val="EEFB0F45"/>
    <w:rsid w:val="EF3DB2D2"/>
    <w:rsid w:val="EF9DE8C3"/>
    <w:rsid w:val="EFB7B625"/>
    <w:rsid w:val="EFB7D3A2"/>
    <w:rsid w:val="EFC6B792"/>
    <w:rsid w:val="EFCBE390"/>
    <w:rsid w:val="EFD7862D"/>
    <w:rsid w:val="EFDD5C13"/>
    <w:rsid w:val="EFF153DA"/>
    <w:rsid w:val="EFFD5435"/>
    <w:rsid w:val="EFFDABAC"/>
    <w:rsid w:val="EFFEABC3"/>
    <w:rsid w:val="EFFEC92F"/>
    <w:rsid w:val="EFFF6160"/>
    <w:rsid w:val="F17B127A"/>
    <w:rsid w:val="F1FDA3DD"/>
    <w:rsid w:val="F1FDC163"/>
    <w:rsid w:val="F27F346B"/>
    <w:rsid w:val="F35F8790"/>
    <w:rsid w:val="F37F78D6"/>
    <w:rsid w:val="F3B30618"/>
    <w:rsid w:val="F3EF23D7"/>
    <w:rsid w:val="F4376ED8"/>
    <w:rsid w:val="F4F83519"/>
    <w:rsid w:val="F4FB716B"/>
    <w:rsid w:val="F4FD7EE0"/>
    <w:rsid w:val="F52D446B"/>
    <w:rsid w:val="F5767531"/>
    <w:rsid w:val="F5BDAEEF"/>
    <w:rsid w:val="F5CFED9C"/>
    <w:rsid w:val="F5F61C4B"/>
    <w:rsid w:val="F5FD2570"/>
    <w:rsid w:val="F675C7D8"/>
    <w:rsid w:val="F69E4ADE"/>
    <w:rsid w:val="F6FD80F9"/>
    <w:rsid w:val="F7589F52"/>
    <w:rsid w:val="F76B8225"/>
    <w:rsid w:val="F77F08F8"/>
    <w:rsid w:val="F7BB646E"/>
    <w:rsid w:val="F7BF943A"/>
    <w:rsid w:val="F7DDA77D"/>
    <w:rsid w:val="F7E74D38"/>
    <w:rsid w:val="F7F7A869"/>
    <w:rsid w:val="F7FB6482"/>
    <w:rsid w:val="F7FF1CF1"/>
    <w:rsid w:val="F7FF601F"/>
    <w:rsid w:val="F7FF660E"/>
    <w:rsid w:val="F8BC9EF0"/>
    <w:rsid w:val="F8FA3A6C"/>
    <w:rsid w:val="F9C51403"/>
    <w:rsid w:val="FA6F77B8"/>
    <w:rsid w:val="FAD5BFB3"/>
    <w:rsid w:val="FAFBACF4"/>
    <w:rsid w:val="FBF712D6"/>
    <w:rsid w:val="FBF9C8CB"/>
    <w:rsid w:val="FBFA5166"/>
    <w:rsid w:val="FBFCD3EC"/>
    <w:rsid w:val="FBFE20A5"/>
    <w:rsid w:val="FCDEFB14"/>
    <w:rsid w:val="FD270A81"/>
    <w:rsid w:val="FD3D4D3C"/>
    <w:rsid w:val="FD5C2C02"/>
    <w:rsid w:val="FD5E4D43"/>
    <w:rsid w:val="FD7A2379"/>
    <w:rsid w:val="FD9616C9"/>
    <w:rsid w:val="FDB9591E"/>
    <w:rsid w:val="FDBFCD36"/>
    <w:rsid w:val="FDCA618F"/>
    <w:rsid w:val="FDD77D00"/>
    <w:rsid w:val="FDD79950"/>
    <w:rsid w:val="FDE77B2F"/>
    <w:rsid w:val="FDED4426"/>
    <w:rsid w:val="FDEE5231"/>
    <w:rsid w:val="FDF74629"/>
    <w:rsid w:val="FDFD2161"/>
    <w:rsid w:val="FDFF15D6"/>
    <w:rsid w:val="FDFF2577"/>
    <w:rsid w:val="FE0B6046"/>
    <w:rsid w:val="FE2FB9E5"/>
    <w:rsid w:val="FE3D4C00"/>
    <w:rsid w:val="FE6577F7"/>
    <w:rsid w:val="FE6FECB2"/>
    <w:rsid w:val="FE9F10B3"/>
    <w:rsid w:val="FEB77E92"/>
    <w:rsid w:val="FED74036"/>
    <w:rsid w:val="FEDA2136"/>
    <w:rsid w:val="FEDF5848"/>
    <w:rsid w:val="FEDFA428"/>
    <w:rsid w:val="FEEAD59C"/>
    <w:rsid w:val="FEED66B3"/>
    <w:rsid w:val="FEEE4B80"/>
    <w:rsid w:val="FEEF39C0"/>
    <w:rsid w:val="FEFB03DC"/>
    <w:rsid w:val="FEFC9CFD"/>
    <w:rsid w:val="FF17F7D4"/>
    <w:rsid w:val="FF3BAE18"/>
    <w:rsid w:val="FF3D1B44"/>
    <w:rsid w:val="FF3E2514"/>
    <w:rsid w:val="FF3E3C24"/>
    <w:rsid w:val="FF495C3E"/>
    <w:rsid w:val="FF762CDA"/>
    <w:rsid w:val="FF7718D6"/>
    <w:rsid w:val="FF7F7657"/>
    <w:rsid w:val="FF7FB3C2"/>
    <w:rsid w:val="FF7FBCA8"/>
    <w:rsid w:val="FF9BEE86"/>
    <w:rsid w:val="FFAF9F30"/>
    <w:rsid w:val="FFBC9A2F"/>
    <w:rsid w:val="FFBDEF4D"/>
    <w:rsid w:val="FFBED1B8"/>
    <w:rsid w:val="FFBF1CD0"/>
    <w:rsid w:val="FFCAA01C"/>
    <w:rsid w:val="FFCB48B6"/>
    <w:rsid w:val="FFCD2FBC"/>
    <w:rsid w:val="FFCEBD52"/>
    <w:rsid w:val="FFCF6C64"/>
    <w:rsid w:val="FFDBF547"/>
    <w:rsid w:val="FFDEE8FC"/>
    <w:rsid w:val="FFE6CEC3"/>
    <w:rsid w:val="FFE75AD7"/>
    <w:rsid w:val="FFEB8C5D"/>
    <w:rsid w:val="FFEE8611"/>
    <w:rsid w:val="FFEFBECA"/>
    <w:rsid w:val="FFF49128"/>
    <w:rsid w:val="FFF6B2C3"/>
    <w:rsid w:val="FFF7C766"/>
    <w:rsid w:val="FFFA3FEF"/>
    <w:rsid w:val="FFFB0102"/>
    <w:rsid w:val="FFFB54BD"/>
    <w:rsid w:val="FFFD1EEA"/>
    <w:rsid w:val="FFFF943A"/>
    <w:rsid w:val="FFFFB636"/>
    <w:rsid w:val="FFFFD9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eastAsia="仿宋_GB2312"/>
      <w:kern w:val="2"/>
      <w:sz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outlineLvl w:val="2"/>
    </w:pPr>
    <w:rPr>
      <w:rFonts w:eastAsia="楷体_GB2312"/>
      <w:b/>
      <w:bCs/>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5">
    <w:name w:val="Normal Indent"/>
    <w:next w:val="6"/>
    <w:qFormat/>
    <w:uiPriority w:val="0"/>
    <w:pPr>
      <w:widowControl w:val="0"/>
      <w:ind w:firstLine="420"/>
      <w:jc w:val="both"/>
    </w:pPr>
    <w:rPr>
      <w:kern w:val="2"/>
      <w:sz w:val="21"/>
      <w:szCs w:val="24"/>
      <w:lang w:val="en-US" w:eastAsia="zh-CN" w:bidi="ar-SA"/>
    </w:rPr>
  </w:style>
  <w:style w:type="paragraph" w:styleId="6">
    <w:name w:val="Body Text"/>
    <w:basedOn w:val="1"/>
    <w:next w:val="7"/>
    <w:qFormat/>
    <w:uiPriority w:val="0"/>
    <w:pPr>
      <w:ind w:firstLine="880" w:firstLineChars="200"/>
    </w:pPr>
    <w:rPr>
      <w:rFonts w:eastAsia="仿宋_GB2312" w:cs="Times New Roman"/>
      <w:sz w:val="32"/>
      <w:szCs w:val="21"/>
    </w:rPr>
  </w:style>
  <w:style w:type="paragraph" w:styleId="7">
    <w:name w:val="toc 5"/>
    <w:basedOn w:val="1"/>
    <w:next w:val="1"/>
    <w:qFormat/>
    <w:uiPriority w:val="0"/>
    <w:pPr>
      <w:ind w:left="1680" w:leftChars="800"/>
    </w:pPr>
    <w:rPr>
      <w:rFonts w:ascii="等线" w:hAnsi="等线" w:eastAsia="等线" w:cs="Times New Roman"/>
      <w:szCs w:val="22"/>
    </w:rPr>
  </w:style>
  <w:style w:type="paragraph" w:styleId="8">
    <w:name w:val="index 5"/>
    <w:basedOn w:val="1"/>
    <w:next w:val="1"/>
    <w:qFormat/>
    <w:uiPriority w:val="0"/>
    <w:pPr>
      <w:ind w:left="800" w:leftChars="800"/>
    </w:pPr>
    <w:rPr>
      <w:rFonts w:ascii="Times New Roman" w:hAnsi="Times New Roman" w:eastAsia="宋体" w:cs="Times New Roman"/>
    </w:rPr>
  </w:style>
  <w:style w:type="paragraph" w:styleId="9">
    <w:name w:val="endnote text"/>
    <w:basedOn w:val="1"/>
    <w:next w:val="6"/>
    <w:qFormat/>
    <w:uiPriority w:val="0"/>
  </w:style>
  <w:style w:type="paragraph" w:styleId="10">
    <w:name w:val="Balloon Text"/>
    <w:basedOn w:val="1"/>
    <w:semiHidden/>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next w:val="1"/>
    <w:qFormat/>
    <w:uiPriority w:val="0"/>
    <w:pPr>
      <w:spacing w:before="240" w:after="60"/>
      <w:jc w:val="center"/>
      <w:outlineLvl w:val="0"/>
    </w:pPr>
    <w:rPr>
      <w:rFonts w:ascii="Cambria" w:hAnsi="Cambria"/>
      <w:b/>
      <w:bCs/>
      <w:kern w:val="2"/>
      <w:sz w:val="32"/>
      <w:szCs w:val="32"/>
      <w:lang w:val="en-US" w:eastAsia="zh-CN" w:bidi="ar-SA"/>
    </w:rPr>
  </w:style>
  <w:style w:type="character" w:styleId="18">
    <w:name w:val="page number"/>
    <w:basedOn w:val="17"/>
    <w:uiPriority w:val="0"/>
  </w:style>
  <w:style w:type="paragraph" w:customStyle="1" w:styleId="19">
    <w:name w:val="正文文本缩进 21"/>
    <w:basedOn w:val="1"/>
    <w:next w:val="6"/>
    <w:qFormat/>
    <w:uiPriority w:val="0"/>
    <w:pPr>
      <w:spacing w:after="120" w:line="480" w:lineRule="auto"/>
      <w:ind w:left="420" w:leftChars="200"/>
    </w:pPr>
  </w:style>
  <w:style w:type="paragraph" w:customStyle="1" w:styleId="20">
    <w:name w:val="Default"/>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21">
    <w:name w:val="正文 New"/>
    <w:qFormat/>
    <w:uiPriority w:val="0"/>
    <w:pPr>
      <w:widowControl w:val="0"/>
      <w:jc w:val="both"/>
    </w:pPr>
    <w:rPr>
      <w:kern w:val="2"/>
      <w:sz w:val="21"/>
      <w:szCs w:val="24"/>
      <w:lang w:val="en-US" w:eastAsia="zh-CN" w:bidi="ar-SA"/>
    </w:rPr>
  </w:style>
  <w:style w:type="paragraph" w:customStyle="1" w:styleId="22">
    <w:name w:val="正文首行缩进1"/>
    <w:basedOn w:val="1"/>
    <w:qFormat/>
    <w:uiPriority w:val="99"/>
    <w:pPr>
      <w:spacing w:after="120"/>
      <w:ind w:firstLine="420" w:firstLineChars="100"/>
    </w:pPr>
  </w:style>
  <w:style w:type="paragraph" w:customStyle="1" w:styleId="23">
    <w:name w:val="_Style 2"/>
    <w:basedOn w:val="1"/>
    <w:qFormat/>
    <w:uiPriority w:val="34"/>
    <w:pPr>
      <w:ind w:firstLine="420" w:firstLineChars="200"/>
    </w:pPr>
  </w:style>
  <w:style w:type="character" w:customStyle="1" w:styleId="24">
    <w:name w:val="font121"/>
    <w:basedOn w:val="17"/>
    <w:qFormat/>
    <w:uiPriority w:val="0"/>
    <w:rPr>
      <w:rFonts w:hint="eastAsia" w:ascii="仿宋_GB2312" w:hAnsi="Times New Roman"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412</Words>
  <Characters>2355</Characters>
  <Lines>19</Lines>
  <Paragraphs>5</Paragraphs>
  <TotalTime>0</TotalTime>
  <ScaleCrop>false</ScaleCrop>
  <LinksUpToDate>false</LinksUpToDate>
  <CharactersWithSpaces>2762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2024-02-02T08:07:00Z</dcterms:created>
  <dc:creator>kylin</dc:creator>
  <cp:lastModifiedBy>WPS_1640494117</cp:lastModifiedBy>
  <cp:lastPrinted>2024-01-25T19:24:00Z</cp:lastPrinted>
  <dcterms:modified xsi:type="dcterms:W3CDTF">2024-02-19T08:44:08Z</dcterms:modified>
  <dc:title>湖南省人民政府办公厅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D1136BE639B845D2B20EF5B7A8A88DFA_13</vt:lpwstr>
  </property>
</Properties>
</file>