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bCs/>
          <w:kern w:val="0"/>
          <w:sz w:val="32"/>
          <w:szCs w:val="32"/>
        </w:rPr>
      </w:pPr>
      <w:bookmarkStart w:id="0" w:name="_GoBack"/>
      <w:r>
        <w:rPr>
          <w:rFonts w:hint="eastAsia" w:ascii="方正小标宋简体" w:eastAsia="方正小标宋简体"/>
          <w:bCs/>
          <w:kern w:val="0"/>
          <w:sz w:val="44"/>
          <w:szCs w:val="44"/>
        </w:rPr>
        <w:t>整体支出绩效自评报告（格式）</w:t>
      </w:r>
      <w:bookmarkEnd w:id="0"/>
      <w:r>
        <w:rPr>
          <w:rFonts w:hint="eastAsia" w:ascii="方正小标宋简体"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rPr>
        <w:t>7</w:t>
      </w:r>
      <w:r>
        <w:rPr>
          <w:rFonts w:eastAsia="楷体_GB2312"/>
          <w:bCs/>
          <w:kern w:val="0"/>
          <w:sz w:val="32"/>
          <w:szCs w:val="32"/>
        </w:rPr>
        <w:t>年度）</w:t>
      </w:r>
    </w:p>
    <w:p>
      <w:pPr>
        <w:widowControl/>
        <w:tabs>
          <w:tab w:val="left" w:pos="2593"/>
        </w:tabs>
        <w:jc w:val="left"/>
        <w:rPr>
          <w:rFonts w:ascii="仿宋" w:hAnsi="仿宋" w:eastAsia="仿宋"/>
          <w:kern w:val="0"/>
          <w:sz w:val="24"/>
        </w:rPr>
      </w:pPr>
      <w:r>
        <w:rPr>
          <w:rFonts w:hint="eastAsia" w:ascii="仿宋" w:hAnsi="仿宋" w:eastAsia="仿宋"/>
          <w:kern w:val="0"/>
          <w:sz w:val="24"/>
        </w:rPr>
        <w:t>填报单位（盖章）：</w:t>
      </w:r>
      <w:r>
        <w:rPr>
          <w:rFonts w:ascii="仿宋" w:hAnsi="仿宋" w:eastAsia="仿宋"/>
          <w:kern w:val="0"/>
          <w:sz w:val="24"/>
        </w:rPr>
        <w:tab/>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001"/>
        <w:gridCol w:w="2044"/>
        <w:gridCol w:w="595"/>
        <w:gridCol w:w="56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vAlign w:val="bottom"/>
          </w:tcPr>
          <w:p>
            <w:pPr>
              <w:widowControl/>
              <w:rPr>
                <w:rFonts w:ascii="仿宋" w:hAnsi="仿宋" w:eastAsia="仿宋"/>
                <w:kern w:val="0"/>
                <w:sz w:val="24"/>
              </w:rPr>
            </w:pPr>
            <w:r>
              <w:rPr>
                <w:rFonts w:hint="eastAsia" w:ascii="仿宋" w:hAnsi="仿宋" w:eastAsia="仿宋"/>
                <w:kern w:val="0"/>
                <w:sz w:val="24"/>
              </w:rPr>
              <w:t>单位名称：株洲市食品药品监督管理局</w:t>
            </w:r>
          </w:p>
        </w:tc>
        <w:tc>
          <w:tcPr>
            <w:tcW w:w="4760" w:type="dxa"/>
            <w:gridSpan w:val="2"/>
            <w:vAlign w:val="bottom"/>
          </w:tcPr>
          <w:p>
            <w:pPr>
              <w:widowControl/>
              <w:rPr>
                <w:rFonts w:hint="eastAsia" w:ascii="仿宋" w:hAnsi="仿宋" w:eastAsia="仿宋"/>
                <w:kern w:val="0"/>
                <w:sz w:val="24"/>
              </w:rPr>
            </w:pPr>
            <w:r>
              <w:rPr>
                <w:rFonts w:hint="eastAsia" w:ascii="仿宋" w:hAnsi="仿宋" w:eastAsia="仿宋"/>
                <w:kern w:val="0"/>
                <w:sz w:val="24"/>
              </w:rPr>
              <w:t>单位负责人：李余粮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vAlign w:val="bottom"/>
          </w:tcPr>
          <w:p>
            <w:pPr>
              <w:widowControl/>
              <w:rPr>
                <w:rFonts w:hint="eastAsia" w:ascii="仿宋" w:hAnsi="仿宋" w:eastAsia="仿宋"/>
                <w:kern w:val="0"/>
                <w:sz w:val="24"/>
              </w:rPr>
            </w:pPr>
            <w:r>
              <w:rPr>
                <w:rFonts w:hint="eastAsia" w:ascii="仿宋" w:hAnsi="仿宋" w:eastAsia="仿宋"/>
                <w:kern w:val="0"/>
                <w:sz w:val="24"/>
              </w:rPr>
              <w:t>年末职工人数：185    人</w:t>
            </w:r>
          </w:p>
          <w:p>
            <w:pPr>
              <w:widowControl/>
              <w:rPr>
                <w:rFonts w:hint="eastAsia" w:ascii="仿宋" w:hAnsi="仿宋" w:eastAsia="仿宋"/>
                <w:kern w:val="0"/>
                <w:sz w:val="24"/>
              </w:rPr>
            </w:pPr>
            <w:r>
              <w:rPr>
                <w:rFonts w:hint="eastAsia" w:ascii="仿宋" w:hAnsi="仿宋" w:eastAsia="仿宋"/>
                <w:kern w:val="0"/>
                <w:sz w:val="24"/>
              </w:rPr>
              <w:t>（人员编制：224 人）</w:t>
            </w:r>
          </w:p>
        </w:tc>
        <w:tc>
          <w:tcPr>
            <w:tcW w:w="5355" w:type="dxa"/>
            <w:gridSpan w:val="3"/>
            <w:vAlign w:val="bottom"/>
          </w:tcPr>
          <w:p>
            <w:pPr>
              <w:widowControl/>
              <w:rPr>
                <w:rFonts w:hint="eastAsia" w:ascii="仿宋" w:hAnsi="仿宋" w:eastAsia="仿宋"/>
                <w:kern w:val="0"/>
                <w:sz w:val="24"/>
              </w:rPr>
            </w:pPr>
            <w:r>
              <w:rPr>
                <w:rFonts w:hint="eastAsia" w:ascii="仿宋" w:hAnsi="仿宋" w:eastAsia="仿宋"/>
                <w:kern w:val="0"/>
                <w:sz w:val="24"/>
              </w:rPr>
              <w:t>年末资产总额：3178.16万元；</w:t>
            </w:r>
          </w:p>
          <w:p>
            <w:pPr>
              <w:widowControl/>
              <w:rPr>
                <w:rFonts w:hint="eastAsia" w:ascii="仿宋" w:hAnsi="仿宋" w:eastAsia="仿宋"/>
                <w:kern w:val="0"/>
                <w:sz w:val="24"/>
              </w:rPr>
            </w:pPr>
            <w:r>
              <w:rPr>
                <w:rFonts w:hint="eastAsia" w:ascii="仿宋" w:hAnsi="仿宋" w:eastAsia="仿宋"/>
                <w:kern w:val="0"/>
                <w:sz w:val="24"/>
              </w:rPr>
              <w:t>负债总额：26.85万元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5" w:hRule="atLeast"/>
          <w:jc w:val="center"/>
        </w:trPr>
        <w:tc>
          <w:tcPr>
            <w:tcW w:w="2241" w:type="dxa"/>
            <w:gridSpan w:val="2"/>
            <w:vAlign w:val="center"/>
          </w:tcPr>
          <w:p>
            <w:pPr>
              <w:widowControl/>
              <w:jc w:val="center"/>
              <w:rPr>
                <w:rFonts w:hint="eastAsia" w:ascii="仿宋" w:hAnsi="仿宋" w:eastAsia="仿宋"/>
                <w:kern w:val="0"/>
                <w:sz w:val="24"/>
              </w:rPr>
            </w:pPr>
            <w:r>
              <w:rPr>
                <w:rFonts w:hint="eastAsia" w:ascii="仿宋" w:hAnsi="仿宋" w:eastAsia="仿宋"/>
                <w:kern w:val="0"/>
                <w:sz w:val="24"/>
              </w:rPr>
              <w:t>年度预算收支情况</w:t>
            </w:r>
            <w:r>
              <w:rPr>
                <w:rFonts w:hint="eastAsia" w:ascii="仿宋" w:hAnsi="仿宋" w:eastAsia="仿宋"/>
                <w:kern w:val="0"/>
                <w:sz w:val="24"/>
              </w:rPr>
              <w:br w:type="textWrapping"/>
            </w:r>
          </w:p>
        </w:tc>
        <w:tc>
          <w:tcPr>
            <w:tcW w:w="7399" w:type="dxa"/>
            <w:gridSpan w:val="4"/>
            <w:vAlign w:val="center"/>
          </w:tcPr>
          <w:p>
            <w:pPr>
              <w:widowControl/>
              <w:ind w:left="420" w:hanging="420"/>
              <w:jc w:val="left"/>
              <w:rPr>
                <w:rFonts w:hint="eastAsia" w:ascii="仿宋" w:hAnsi="仿宋" w:eastAsia="仿宋"/>
                <w:kern w:val="0"/>
                <w:sz w:val="24"/>
              </w:rPr>
            </w:pPr>
            <w:r>
              <w:rPr>
                <w:rFonts w:hint="eastAsia" w:ascii="仿宋" w:hAnsi="仿宋" w:eastAsia="仿宋"/>
                <w:kern w:val="0"/>
                <w:sz w:val="24"/>
              </w:rPr>
              <w:t>1.年初预算资金5449.7万元。</w:t>
            </w:r>
          </w:p>
          <w:p>
            <w:pPr>
              <w:widowControl/>
              <w:ind w:left="420" w:hanging="420"/>
              <w:jc w:val="left"/>
              <w:rPr>
                <w:rFonts w:hint="eastAsia" w:ascii="仿宋" w:hAnsi="仿宋" w:eastAsia="仿宋"/>
                <w:kern w:val="0"/>
                <w:sz w:val="24"/>
              </w:rPr>
            </w:pPr>
            <w:r>
              <w:rPr>
                <w:rFonts w:hint="eastAsia" w:ascii="仿宋" w:hAnsi="仿宋" w:eastAsia="仿宋"/>
                <w:kern w:val="0"/>
                <w:sz w:val="24"/>
              </w:rPr>
              <w:t>2.单位年度总收入5449.7 万元，其中：财政拨款5395.7万元，其他收入0 万元（占比10%以上需列出具体项目和金额）。</w:t>
            </w:r>
          </w:p>
          <w:p>
            <w:pPr>
              <w:widowControl/>
              <w:ind w:left="420" w:hanging="420"/>
              <w:jc w:val="left"/>
              <w:rPr>
                <w:rFonts w:hint="eastAsia" w:ascii="仿宋" w:hAnsi="仿宋" w:eastAsia="仿宋"/>
                <w:kern w:val="0"/>
                <w:sz w:val="24"/>
              </w:rPr>
            </w:pPr>
            <w:r>
              <w:rPr>
                <w:rFonts w:hint="eastAsia" w:ascii="仿宋" w:hAnsi="仿宋" w:eastAsia="仿宋"/>
                <w:kern w:val="0"/>
                <w:sz w:val="24"/>
              </w:rPr>
              <w:t>3.单位年度总支出5449.7万元，其中：项目支出1613万元，基本支出3836.7万元，人员支出3782.7万元，公用经费支出1667万元，比上年增减    %，三公经费111.78万元，比上年减少9.53 %，公车购置和维护费84.14万元，公务接待费27.64万元，出国经费0万元。</w:t>
            </w:r>
          </w:p>
          <w:p>
            <w:pPr>
              <w:widowControl/>
              <w:ind w:left="420" w:hanging="420"/>
              <w:jc w:val="left"/>
              <w:rPr>
                <w:rFonts w:hint="eastAsia" w:ascii="仿宋" w:hAnsi="仿宋" w:eastAsia="仿宋"/>
                <w:kern w:val="0"/>
                <w:sz w:val="24"/>
              </w:rPr>
            </w:pPr>
            <w:r>
              <w:rPr>
                <w:rFonts w:hint="eastAsia" w:ascii="仿宋" w:hAnsi="仿宋" w:eastAsia="仿宋"/>
                <w:kern w:val="0"/>
                <w:sz w:val="24"/>
              </w:rPr>
              <w:t>4.单位基建维修支出       万元（需列出具体项目和金额</w:t>
            </w:r>
          </w:p>
          <w:p>
            <w:pPr>
              <w:widowControl/>
              <w:ind w:left="420" w:hanging="420"/>
              <w:jc w:val="left"/>
              <w:rPr>
                <w:rFonts w:hint="eastAsia" w:ascii="仿宋" w:hAnsi="仿宋" w:eastAsia="仿宋"/>
                <w:kern w:val="0"/>
                <w:sz w:val="24"/>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jc w:val="center"/>
        </w:trPr>
        <w:tc>
          <w:tcPr>
            <w:tcW w:w="1240" w:type="dxa"/>
            <w:vAlign w:val="center"/>
          </w:tcPr>
          <w:p>
            <w:pPr>
              <w:widowControl/>
              <w:rPr>
                <w:rFonts w:ascii="仿宋" w:hAnsi="仿宋" w:eastAsia="仿宋"/>
                <w:kern w:val="0"/>
                <w:sz w:val="24"/>
              </w:rPr>
            </w:pPr>
            <w:r>
              <w:rPr>
                <w:rFonts w:hint="eastAsia" w:ascii="仿宋" w:hAnsi="仿宋" w:eastAsia="仿宋"/>
                <w:kern w:val="0"/>
                <w:sz w:val="24"/>
              </w:rPr>
              <w:t>年度支出情况分析说明（重点说明贯彻落实厉行节约、严控“三公经费”、降低一般运行经费、加强项目支出管理等方面的成绩、存在问题及改进措施）</w:t>
            </w:r>
          </w:p>
        </w:tc>
        <w:tc>
          <w:tcPr>
            <w:tcW w:w="8400" w:type="dxa"/>
            <w:gridSpan w:val="5"/>
          </w:tcPr>
          <w:p>
            <w:pPr>
              <w:ind w:firstLine="640" w:firstLineChars="200"/>
              <w:rPr>
                <w:rFonts w:ascii="华文仿宋" w:hAnsi="华文仿宋" w:eastAsia="华文仿宋"/>
                <w:sz w:val="32"/>
                <w:szCs w:val="32"/>
              </w:rPr>
            </w:pPr>
            <w:r>
              <w:rPr>
                <w:rFonts w:ascii="华文仿宋" w:hAnsi="华文仿宋" w:eastAsia="华文仿宋"/>
                <w:sz w:val="32"/>
                <w:szCs w:val="32"/>
              </w:rPr>
              <w:t>本年收入</w:t>
            </w:r>
            <w:r>
              <w:rPr>
                <w:rFonts w:hint="eastAsia" w:ascii="华文仿宋" w:hAnsi="华文仿宋" w:eastAsia="华文仿宋"/>
                <w:sz w:val="32"/>
                <w:szCs w:val="32"/>
              </w:rPr>
              <w:t>52586116.77</w:t>
            </w:r>
            <w:r>
              <w:rPr>
                <w:rFonts w:ascii="华文仿宋" w:hAnsi="华文仿宋" w:eastAsia="华文仿宋"/>
                <w:sz w:val="32"/>
                <w:szCs w:val="32"/>
              </w:rPr>
              <w:t>元,其中:财政拨款</w:t>
            </w:r>
            <w:r>
              <w:rPr>
                <w:rFonts w:hint="eastAsia" w:ascii="华文仿宋" w:hAnsi="华文仿宋" w:eastAsia="华文仿宋"/>
                <w:sz w:val="32"/>
                <w:szCs w:val="32"/>
              </w:rPr>
              <w:t>50200932.16</w:t>
            </w:r>
            <w:r>
              <w:rPr>
                <w:rFonts w:ascii="华文仿宋" w:hAnsi="华文仿宋" w:eastAsia="华文仿宋"/>
                <w:sz w:val="32"/>
                <w:szCs w:val="32"/>
              </w:rPr>
              <w:t>元，占总收入的95.</w:t>
            </w:r>
            <w:r>
              <w:rPr>
                <w:rFonts w:hint="eastAsia" w:ascii="华文仿宋" w:hAnsi="华文仿宋" w:eastAsia="华文仿宋"/>
                <w:sz w:val="32"/>
                <w:szCs w:val="32"/>
              </w:rPr>
              <w:t>46</w:t>
            </w:r>
            <w:r>
              <w:rPr>
                <w:rFonts w:ascii="华文仿宋" w:hAnsi="华文仿宋" w:eastAsia="华文仿宋"/>
                <w:sz w:val="32"/>
                <w:szCs w:val="32"/>
              </w:rPr>
              <w:t>%，其他收入</w:t>
            </w:r>
            <w:r>
              <w:rPr>
                <w:rFonts w:hint="eastAsia" w:ascii="华文仿宋" w:hAnsi="华文仿宋" w:eastAsia="华文仿宋"/>
                <w:sz w:val="32"/>
                <w:szCs w:val="32"/>
              </w:rPr>
              <w:t>2385184.61</w:t>
            </w:r>
            <w:r>
              <w:rPr>
                <w:rFonts w:ascii="华文仿宋" w:hAnsi="华文仿宋" w:eastAsia="华文仿宋"/>
                <w:sz w:val="32"/>
                <w:szCs w:val="32"/>
              </w:rPr>
              <w:t>元，占总收入的</w:t>
            </w:r>
            <w:r>
              <w:rPr>
                <w:rFonts w:hint="eastAsia" w:ascii="华文仿宋" w:hAnsi="华文仿宋" w:eastAsia="华文仿宋"/>
                <w:sz w:val="32"/>
                <w:szCs w:val="32"/>
              </w:rPr>
              <w:t>4.54</w:t>
            </w:r>
            <w:r>
              <w:rPr>
                <w:rFonts w:ascii="华文仿宋" w:hAnsi="华文仿宋" w:eastAsia="华文仿宋"/>
                <w:sz w:val="32"/>
                <w:szCs w:val="32"/>
              </w:rPr>
              <w:t>%。本年支出共</w:t>
            </w:r>
            <w:r>
              <w:rPr>
                <w:rFonts w:hint="eastAsia" w:ascii="华文仿宋" w:hAnsi="华文仿宋" w:eastAsia="华文仿宋"/>
                <w:sz w:val="32"/>
                <w:szCs w:val="32"/>
              </w:rPr>
              <w:t>50405017.97</w:t>
            </w:r>
            <w:r>
              <w:rPr>
                <w:rFonts w:ascii="华文仿宋" w:hAnsi="华文仿宋" w:eastAsia="华文仿宋"/>
                <w:sz w:val="32"/>
                <w:szCs w:val="32"/>
              </w:rPr>
              <w:t>元,其中:工资福利</w:t>
            </w:r>
            <w:r>
              <w:rPr>
                <w:rFonts w:hint="eastAsia" w:ascii="华文仿宋" w:hAnsi="华文仿宋" w:eastAsia="华文仿宋"/>
                <w:sz w:val="32"/>
                <w:szCs w:val="32"/>
              </w:rPr>
              <w:t>16883742.75</w:t>
            </w:r>
            <w:r>
              <w:rPr>
                <w:rFonts w:ascii="华文仿宋" w:hAnsi="华文仿宋" w:eastAsia="华文仿宋"/>
                <w:sz w:val="32"/>
                <w:szCs w:val="32"/>
              </w:rPr>
              <w:t>元，商品和服务支出</w:t>
            </w:r>
            <w:r>
              <w:rPr>
                <w:rFonts w:hint="eastAsia" w:ascii="华文仿宋" w:hAnsi="华文仿宋" w:eastAsia="华文仿宋"/>
                <w:sz w:val="32"/>
                <w:szCs w:val="32"/>
              </w:rPr>
              <w:t>21160588.29</w:t>
            </w:r>
            <w:r>
              <w:rPr>
                <w:rFonts w:ascii="华文仿宋" w:hAnsi="华文仿宋" w:eastAsia="华文仿宋"/>
                <w:sz w:val="32"/>
                <w:szCs w:val="32"/>
              </w:rPr>
              <w:t>元，对个人和家庭补助支出</w:t>
            </w:r>
            <w:r>
              <w:rPr>
                <w:rFonts w:hint="eastAsia" w:ascii="华文仿宋" w:hAnsi="华文仿宋" w:eastAsia="华文仿宋"/>
                <w:sz w:val="32"/>
                <w:szCs w:val="32"/>
              </w:rPr>
              <w:t>10567557.63</w:t>
            </w:r>
            <w:r>
              <w:rPr>
                <w:rFonts w:ascii="华文仿宋" w:hAnsi="华文仿宋" w:eastAsia="华文仿宋"/>
                <w:sz w:val="32"/>
                <w:szCs w:val="32"/>
              </w:rPr>
              <w:t>元，其他资本性支出</w:t>
            </w:r>
            <w:r>
              <w:rPr>
                <w:rFonts w:hint="eastAsia" w:ascii="华文仿宋" w:hAnsi="华文仿宋" w:eastAsia="华文仿宋"/>
                <w:sz w:val="32"/>
                <w:szCs w:val="32"/>
              </w:rPr>
              <w:t>1793129.3</w:t>
            </w:r>
            <w:r>
              <w:rPr>
                <w:rFonts w:ascii="华文仿宋" w:hAnsi="华文仿宋" w:eastAsia="华文仿宋"/>
                <w:sz w:val="32"/>
                <w:szCs w:val="32"/>
              </w:rPr>
              <w:t>元。</w:t>
            </w:r>
          </w:p>
          <w:p>
            <w:pPr>
              <w:ind w:firstLine="640" w:firstLineChars="200"/>
              <w:rPr>
                <w:rFonts w:ascii="华文仿宋" w:hAnsi="华文仿宋" w:eastAsia="华文仿宋"/>
                <w:sz w:val="32"/>
                <w:szCs w:val="32"/>
              </w:rPr>
            </w:pPr>
            <w:r>
              <w:rPr>
                <w:rFonts w:ascii="华文仿宋" w:hAnsi="华文仿宋" w:eastAsia="华文仿宋"/>
                <w:sz w:val="32"/>
                <w:szCs w:val="32"/>
              </w:rPr>
              <w:t>“三公”经费支出情况：本年“三公经费”公共预算拨款支出为：</w:t>
            </w:r>
            <w:r>
              <w:rPr>
                <w:rFonts w:hint="eastAsia" w:ascii="华文仿宋" w:hAnsi="华文仿宋" w:eastAsia="华文仿宋"/>
                <w:sz w:val="32"/>
                <w:szCs w:val="32"/>
              </w:rPr>
              <w:t>1117779.79</w:t>
            </w:r>
            <w:r>
              <w:rPr>
                <w:rFonts w:ascii="华文仿宋" w:hAnsi="华文仿宋" w:eastAsia="华文仿宋"/>
                <w:sz w:val="32"/>
                <w:szCs w:val="32"/>
              </w:rPr>
              <w:t>元，其中公务用车运行维护费</w:t>
            </w:r>
            <w:r>
              <w:rPr>
                <w:rFonts w:hint="eastAsia" w:ascii="华文仿宋" w:hAnsi="华文仿宋" w:eastAsia="华文仿宋"/>
                <w:sz w:val="32"/>
                <w:szCs w:val="32"/>
              </w:rPr>
              <w:t>841381.79</w:t>
            </w:r>
            <w:r>
              <w:rPr>
                <w:rFonts w:ascii="华文仿宋" w:hAnsi="华文仿宋" w:eastAsia="华文仿宋"/>
                <w:sz w:val="32"/>
                <w:szCs w:val="32"/>
              </w:rPr>
              <w:t>元，公务接待费</w:t>
            </w:r>
            <w:r>
              <w:rPr>
                <w:rFonts w:hint="eastAsia" w:ascii="华文仿宋" w:hAnsi="华文仿宋" w:eastAsia="华文仿宋"/>
                <w:sz w:val="32"/>
                <w:szCs w:val="32"/>
              </w:rPr>
              <w:t>276398</w:t>
            </w:r>
            <w:r>
              <w:rPr>
                <w:rFonts w:ascii="华文仿宋" w:hAnsi="华文仿宋" w:eastAsia="华文仿宋"/>
                <w:sz w:val="32"/>
                <w:szCs w:val="32"/>
              </w:rPr>
              <w:t>元，公务用车购置费0元。上年“三公经费”公共预算拨款支出为： 1235655元，其中公务用车运行维护费953981元，公务接待费为281674元。本年比上年减少</w:t>
            </w:r>
            <w:r>
              <w:rPr>
                <w:rFonts w:hint="eastAsia" w:ascii="华文仿宋" w:hAnsi="华文仿宋" w:eastAsia="华文仿宋"/>
                <w:sz w:val="32"/>
                <w:szCs w:val="32"/>
              </w:rPr>
              <w:t>117875.21</w:t>
            </w:r>
            <w:r>
              <w:rPr>
                <w:rFonts w:ascii="华文仿宋" w:hAnsi="华文仿宋" w:eastAsia="华文仿宋"/>
                <w:sz w:val="32"/>
                <w:szCs w:val="32"/>
              </w:rPr>
              <w:t>元，其中：公务用车运行维护费下降</w:t>
            </w:r>
            <w:r>
              <w:rPr>
                <w:rFonts w:hint="eastAsia" w:ascii="华文仿宋" w:hAnsi="华文仿宋" w:eastAsia="华文仿宋"/>
                <w:sz w:val="32"/>
                <w:szCs w:val="32"/>
              </w:rPr>
              <w:t>112599.21</w:t>
            </w:r>
            <w:r>
              <w:rPr>
                <w:rFonts w:ascii="华文仿宋" w:hAnsi="华文仿宋" w:eastAsia="华文仿宋"/>
                <w:sz w:val="32"/>
                <w:szCs w:val="32"/>
              </w:rPr>
              <w:t>元，，本年未购置新车。</w:t>
            </w:r>
          </w:p>
          <w:p>
            <w:pPr>
              <w:ind w:left="540"/>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3" w:hRule="atLeast"/>
          <w:jc w:val="center"/>
        </w:trPr>
        <w:tc>
          <w:tcPr>
            <w:tcW w:w="1240" w:type="dxa"/>
            <w:vAlign w:val="center"/>
          </w:tcPr>
          <w:p>
            <w:pPr>
              <w:rPr>
                <w:rFonts w:hint="eastAsia" w:ascii="仿宋" w:hAnsi="仿宋" w:eastAsia="仿宋"/>
                <w:sz w:val="24"/>
              </w:rPr>
            </w:pPr>
            <w:r>
              <w:rPr>
                <w:rFonts w:hint="eastAsia" w:ascii="仿宋" w:hAnsi="仿宋" w:eastAsia="仿宋"/>
                <w:sz w:val="24"/>
              </w:rPr>
              <w:t>整体绩效目标完成情况（党委政府下达的年度工作任务及本部门发展规划实施情况，描述年度内单位使用财政资金达到的产出和效果）</w:t>
            </w:r>
          </w:p>
        </w:tc>
        <w:tc>
          <w:tcPr>
            <w:tcW w:w="8400" w:type="dxa"/>
            <w:gridSpan w:val="5"/>
            <w:vAlign w:val="bottom"/>
          </w:tcPr>
          <w:p>
            <w:pPr>
              <w:topLinePunct/>
              <w:spacing w:line="60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（一）坚持高位推动，监管体系日趋完善</w:t>
            </w:r>
          </w:p>
          <w:p>
            <w:pPr>
              <w:topLinePunct/>
              <w:spacing w:line="60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1.监管体制更加健全。按照省政府统一部署，率先在全省将县（市）局更名为“食品药品工商质量监督管理局”，突出了食品药品监管的首要地位。强化市食药安委职能建设，新增市检察院、市编办、市民政局为成员单位；市食药安委办新增2名正科级稽查专员职数，增设了应急管理科。</w:t>
            </w:r>
            <w:r>
              <w:rPr>
                <w:rFonts w:ascii="华文仿宋" w:hAnsi="华文仿宋" w:eastAsia="华文仿宋"/>
                <w:sz w:val="32"/>
                <w:szCs w:val="32"/>
              </w:rPr>
              <w:t>成立了市检察院驻市食药监局联络室，进一步强化了行刑衔接。</w:t>
            </w:r>
          </w:p>
          <w:p>
            <w:pPr>
              <w:adjustRightInd w:val="0"/>
              <w:snapToGrid w:val="0"/>
              <w:spacing w:line="57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2.顶层设计更加科学。在监管体制改革基本完成的基础上，着眼大局长远，</w:t>
            </w:r>
            <w:r>
              <w:rPr>
                <w:rFonts w:hint="eastAsia" w:ascii="华文仿宋" w:hAnsi="华文仿宋" w:eastAsia="华文仿宋"/>
                <w:color w:val="000000"/>
                <w:sz w:val="32"/>
                <w:szCs w:val="32"/>
              </w:rPr>
              <w:t>起草</w:t>
            </w:r>
            <w:r>
              <w:rPr>
                <w:rFonts w:ascii="华文仿宋" w:hAnsi="华文仿宋" w:eastAsia="华文仿宋"/>
                <w:color w:val="000000"/>
                <w:sz w:val="32"/>
                <w:szCs w:val="32"/>
              </w:rPr>
              <w:t>《关于落实食品安全党政同责的实施办法》、《株洲市“十三五”食品药品安全规划》、《关于进一步加强食品安全工作的实施意见》，</w:t>
            </w:r>
            <w:r>
              <w:rPr>
                <w:rFonts w:hint="eastAsia" w:ascii="华文仿宋" w:hAnsi="华文仿宋" w:eastAsia="华文仿宋"/>
                <w:color w:val="000000"/>
                <w:sz w:val="32"/>
                <w:szCs w:val="32"/>
              </w:rPr>
              <w:t>并</w:t>
            </w:r>
            <w:r>
              <w:rPr>
                <w:rFonts w:ascii="华文仿宋" w:hAnsi="华文仿宋" w:eastAsia="华文仿宋"/>
                <w:color w:val="000000"/>
                <w:sz w:val="32"/>
                <w:szCs w:val="32"/>
              </w:rPr>
              <w:t>以市委、市政府名义出台</w:t>
            </w:r>
            <w:r>
              <w:rPr>
                <w:rFonts w:hint="eastAsia" w:ascii="华文仿宋" w:hAnsi="华文仿宋" w:eastAsia="华文仿宋"/>
                <w:color w:val="000000"/>
                <w:sz w:val="32"/>
                <w:szCs w:val="32"/>
              </w:rPr>
              <w:t>，</w:t>
            </w:r>
            <w:r>
              <w:rPr>
                <w:rFonts w:ascii="华文仿宋" w:hAnsi="华文仿宋" w:eastAsia="华文仿宋"/>
                <w:color w:val="000000"/>
                <w:sz w:val="32"/>
                <w:szCs w:val="32"/>
              </w:rPr>
              <w:t>全面提出了未来一段时期的发展目标、总体要求、重大任务和保障措施。</w:t>
            </w:r>
          </w:p>
          <w:p>
            <w:pPr>
              <w:adjustRightInd w:val="0"/>
              <w:snapToGrid w:val="0"/>
              <w:spacing w:line="57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3.保障措施更加有力。积极争取市委市政府将食品安全工作纳入对县市区党委政府绩效考核，权重为2%；首次将食品安全工作纳入对成员单位绩效考核，权重达3%。市本级食品药品安全工作财政预算5395.7万元，同比增长20%；追加食品安全工作、农贸市场快检体系建设、药检所提质改造等专项经费1450万元。</w:t>
            </w:r>
          </w:p>
          <w:p>
            <w:pPr>
              <w:topLinePunct/>
              <w:spacing w:line="60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（二）坚持创新驱动，治理水平不断提升</w:t>
            </w:r>
          </w:p>
          <w:p>
            <w:pPr>
              <w:spacing w:line="600" w:lineRule="exact"/>
              <w:ind w:firstLine="640" w:firstLineChars="200"/>
              <w:rPr>
                <w:rFonts w:ascii="华文仿宋" w:hAnsi="华文仿宋" w:eastAsia="华文仿宋"/>
                <w:color w:val="000000"/>
                <w:sz w:val="32"/>
                <w:szCs w:val="32"/>
                <w:shd w:val="clear" w:color="auto" w:fill="FFFFFF"/>
              </w:rPr>
            </w:pPr>
            <w:r>
              <w:rPr>
                <w:rFonts w:ascii="华文仿宋" w:hAnsi="华文仿宋" w:eastAsia="华文仿宋"/>
                <w:color w:val="000000"/>
                <w:sz w:val="32"/>
                <w:szCs w:val="32"/>
              </w:rPr>
              <w:t>1.创新日常监管。</w:t>
            </w:r>
            <w:r>
              <w:rPr>
                <w:rFonts w:ascii="华文仿宋" w:hAnsi="华文仿宋" w:eastAsia="华文仿宋"/>
                <w:sz w:val="32"/>
                <w:szCs w:val="32"/>
              </w:rPr>
              <w:t>启动“智慧食药监”建设，开发了移动监管平台，市区划分为130个网格，和市城管局一起聘请了170名信息员。</w:t>
            </w:r>
            <w:r>
              <w:rPr>
                <w:rFonts w:ascii="华文仿宋" w:hAnsi="华文仿宋" w:eastAsia="华文仿宋"/>
                <w:color w:val="000000"/>
                <w:sz w:val="32"/>
                <w:szCs w:val="32"/>
                <w:shd w:val="clear" w:color="auto" w:fill="FFFFFF"/>
              </w:rPr>
              <w:t>在全省率先出台</w:t>
            </w:r>
            <w:r>
              <w:rPr>
                <w:rFonts w:ascii="华文仿宋" w:hAnsi="华文仿宋" w:eastAsia="华文仿宋"/>
                <w:color w:val="000000"/>
                <w:sz w:val="32"/>
                <w:szCs w:val="32"/>
              </w:rPr>
              <w:t>《株洲市医疗机构</w:t>
            </w:r>
            <w:r>
              <w:rPr>
                <w:rFonts w:ascii="华文仿宋" w:hAnsi="华文仿宋" w:eastAsia="华文仿宋"/>
                <w:color w:val="000000"/>
                <w:sz w:val="32"/>
                <w:szCs w:val="32"/>
                <w:shd w:val="clear" w:color="auto" w:fill="FFFFFF"/>
              </w:rPr>
              <w:t>药品使用质量管理规定（试行）》，规范医疗机构药械质量安全管理。</w:t>
            </w:r>
            <w:r>
              <w:rPr>
                <w:rFonts w:ascii="华文仿宋" w:hAnsi="华文仿宋" w:eastAsia="华文仿宋"/>
                <w:snapToGrid w:val="0"/>
                <w:color w:val="000000"/>
                <w:kern w:val="0"/>
                <w:sz w:val="32"/>
                <w:szCs w:val="32"/>
              </w:rPr>
              <w:t>在全省率先</w:t>
            </w:r>
            <w:r>
              <w:rPr>
                <w:rFonts w:ascii="华文仿宋" w:hAnsi="华文仿宋" w:eastAsia="华文仿宋"/>
                <w:sz w:val="32"/>
                <w:szCs w:val="32"/>
              </w:rPr>
              <w:t>推行药品零售企业“多证合一”，近500家企业直接受益，被市委市政府评为十大“首届管理创新奖”之一，获得国务院督查组的高度肯定。</w:t>
            </w:r>
            <w:r>
              <w:rPr>
                <w:rFonts w:ascii="华文仿宋" w:hAnsi="华文仿宋" w:eastAsia="华文仿宋"/>
                <w:color w:val="000000"/>
                <w:sz w:val="32"/>
                <w:szCs w:val="32"/>
              </w:rPr>
              <w:t>实施餐饮业质量安全提升工程，推行小餐饮</w:t>
            </w:r>
            <w:r>
              <w:rPr>
                <w:rFonts w:ascii="华文仿宋" w:hAnsi="华文仿宋" w:eastAsia="华文仿宋"/>
                <w:color w:val="000000"/>
                <w:sz w:val="32"/>
                <w:szCs w:val="32"/>
                <w:shd w:val="clear" w:color="auto" w:fill="FFFFFF"/>
              </w:rPr>
              <w:t>管理信息公开化、场所设施标示化、硬件条件规范化、人员服装统一化等</w:t>
            </w:r>
            <w:r>
              <w:rPr>
                <w:rFonts w:ascii="华文仿宋" w:hAnsi="华文仿宋" w:eastAsia="华文仿宋"/>
                <w:color w:val="000000"/>
                <w:sz w:val="32"/>
                <w:szCs w:val="32"/>
              </w:rPr>
              <w:t>“四化”管理</w:t>
            </w:r>
            <w:r>
              <w:rPr>
                <w:rFonts w:ascii="华文仿宋" w:hAnsi="华文仿宋" w:eastAsia="华文仿宋"/>
                <w:color w:val="000000"/>
                <w:sz w:val="32"/>
                <w:szCs w:val="32"/>
                <w:shd w:val="clear" w:color="auto" w:fill="FFFFFF"/>
              </w:rPr>
              <w:t>，提升餐饮行业软硬件水平。</w:t>
            </w:r>
          </w:p>
          <w:p>
            <w:pPr>
              <w:topLinePunct/>
              <w:spacing w:line="60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2.完善检测体系。实施了市食药检所二期提质工程；市区农贸市场和大型超市全部建成食品快检室；购买第三方快检服务，全年完成</w:t>
            </w:r>
            <w:r>
              <w:rPr>
                <w:rFonts w:hint="eastAsia" w:ascii="华文仿宋" w:hAnsi="华文仿宋" w:eastAsia="华文仿宋"/>
                <w:color w:val="000000"/>
                <w:sz w:val="32"/>
                <w:szCs w:val="32"/>
              </w:rPr>
              <w:t>监督抽检1660批次、</w:t>
            </w:r>
            <w:r>
              <w:rPr>
                <w:rFonts w:ascii="华文仿宋" w:hAnsi="华文仿宋" w:eastAsia="华文仿宋"/>
                <w:color w:val="000000"/>
                <w:sz w:val="32"/>
                <w:szCs w:val="32"/>
              </w:rPr>
              <w:t>快检</w:t>
            </w:r>
            <w:r>
              <w:rPr>
                <w:rFonts w:hint="eastAsia" w:ascii="华文仿宋" w:hAnsi="华文仿宋" w:eastAsia="华文仿宋"/>
                <w:color w:val="000000"/>
                <w:sz w:val="32"/>
                <w:szCs w:val="32"/>
              </w:rPr>
              <w:t>11万</w:t>
            </w:r>
            <w:r>
              <w:rPr>
                <w:rFonts w:ascii="华文仿宋" w:hAnsi="华文仿宋" w:eastAsia="华文仿宋"/>
                <w:color w:val="000000"/>
                <w:sz w:val="32"/>
                <w:szCs w:val="32"/>
              </w:rPr>
              <w:t>批次，</w:t>
            </w:r>
            <w:r>
              <w:rPr>
                <w:rFonts w:hint="eastAsia" w:ascii="华文仿宋" w:hAnsi="华文仿宋" w:eastAsia="华文仿宋"/>
                <w:color w:val="000000"/>
                <w:sz w:val="32"/>
                <w:szCs w:val="32"/>
              </w:rPr>
              <w:t>基本形成</w:t>
            </w:r>
            <w:r>
              <w:rPr>
                <w:rFonts w:hint="eastAsia" w:ascii="华文仿宋" w:hAnsi="华文仿宋" w:eastAsia="华文仿宋"/>
                <w:sz w:val="32"/>
                <w:szCs w:val="32"/>
              </w:rPr>
              <w:t>形成以市检验所为主、第三方为辅的专业权威检测，基层和快检车的快检筛查，以及重点场所快检自查的“三位一体”</w:t>
            </w:r>
            <w:r>
              <w:rPr>
                <w:rFonts w:hint="eastAsia" w:ascii="华文仿宋" w:hAnsi="华文仿宋" w:eastAsia="华文仿宋"/>
                <w:color w:val="000000"/>
                <w:sz w:val="32"/>
                <w:szCs w:val="32"/>
                <w:shd w:val="clear" w:color="auto" w:fill="FFFFFF"/>
              </w:rPr>
              <w:t>检验检测</w:t>
            </w:r>
            <w:r>
              <w:rPr>
                <w:rFonts w:hint="eastAsia" w:ascii="华文仿宋" w:hAnsi="华文仿宋" w:eastAsia="华文仿宋"/>
                <w:sz w:val="32"/>
                <w:szCs w:val="32"/>
              </w:rPr>
              <w:t>体系。</w:t>
            </w:r>
          </w:p>
          <w:p>
            <w:pPr>
              <w:topLinePunct/>
              <w:spacing w:line="600" w:lineRule="exact"/>
              <w:ind w:firstLine="640" w:firstLineChars="200"/>
              <w:rPr>
                <w:rFonts w:ascii="华文仿宋" w:hAnsi="华文仿宋" w:eastAsia="华文仿宋"/>
                <w:snapToGrid w:val="0"/>
                <w:color w:val="000000"/>
                <w:sz w:val="32"/>
                <w:szCs w:val="32"/>
              </w:rPr>
            </w:pPr>
            <w:r>
              <w:rPr>
                <w:rFonts w:ascii="华文仿宋" w:hAnsi="华文仿宋" w:eastAsia="华文仿宋"/>
                <w:color w:val="000000"/>
                <w:sz w:val="32"/>
                <w:szCs w:val="32"/>
              </w:rPr>
              <w:t>3.深化示范创建。积极筹备创建“国家食品安全示范城市”，</w:t>
            </w:r>
            <w:r>
              <w:rPr>
                <w:rFonts w:hint="eastAsia" w:ascii="华文仿宋" w:hAnsi="华文仿宋" w:eastAsia="华文仿宋"/>
                <w:color w:val="000000"/>
                <w:sz w:val="32"/>
                <w:szCs w:val="32"/>
              </w:rPr>
              <w:t>醴陵、炎陵先后成功申报第一批、第二批省级食品安全示范县，指导天元超市成功申报省级“放心肉菜示范超市”，在市区评选4条食品安全示范街、63家“文明餐桌行动示范单位（店）”，通过示范带动提升行业整体水平。</w:t>
            </w:r>
          </w:p>
          <w:p>
            <w:pPr>
              <w:topLinePunct/>
              <w:spacing w:line="60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（三）坚持精准发动，综合治理富有成效</w:t>
            </w:r>
          </w:p>
          <w:p>
            <w:pPr>
              <w:topLinePunct/>
              <w:spacing w:line="600" w:lineRule="exact"/>
              <w:ind w:firstLine="640" w:firstLineChars="200"/>
              <w:rPr>
                <w:rFonts w:ascii="华文仿宋" w:hAnsi="华文仿宋" w:eastAsia="华文仿宋"/>
                <w:sz w:val="32"/>
                <w:szCs w:val="32"/>
              </w:rPr>
            </w:pPr>
            <w:r>
              <w:rPr>
                <w:rFonts w:ascii="华文仿宋" w:hAnsi="华文仿宋" w:eastAsia="华文仿宋"/>
                <w:color w:val="000000"/>
                <w:sz w:val="32"/>
                <w:szCs w:val="32"/>
              </w:rPr>
              <w:t>1.突出风险防控。强化风险排查，获证</w:t>
            </w:r>
            <w:r>
              <w:rPr>
                <w:rFonts w:hint="eastAsia" w:ascii="华文仿宋" w:hAnsi="华文仿宋" w:eastAsia="华文仿宋"/>
                <w:color w:val="000000"/>
                <w:sz w:val="32"/>
                <w:szCs w:val="32"/>
              </w:rPr>
              <w:t>食品生产</w:t>
            </w:r>
            <w:r>
              <w:rPr>
                <w:rFonts w:ascii="华文仿宋" w:hAnsi="华文仿宋" w:eastAsia="华文仿宋"/>
                <w:color w:val="000000"/>
                <w:sz w:val="32"/>
                <w:szCs w:val="32"/>
              </w:rPr>
              <w:t>企业全部完成风险分级等级评定，其中A级79家、B级155家、C级80家、D 级9家，并建立风险隐患突出问题和监管措施清单，实施分级分类管理。强化监督抽检，成立了食品安全抽检监测工作秘书处，出台了《食品安全监督抽检工作制度》，完成食品和食用农产品监督抽检4287批次，检出不合格食品118批次，交办不合格问题食品核查处置205件次；完成</w:t>
            </w:r>
            <w:r>
              <w:rPr>
                <w:rFonts w:ascii="华文仿宋" w:hAnsi="华文仿宋" w:eastAsia="华文仿宋"/>
                <w:bCs/>
                <w:sz w:val="32"/>
                <w:szCs w:val="32"/>
              </w:rPr>
              <w:t>药品监督抽检518批次，检出不合格品57批次，抽检</w:t>
            </w:r>
            <w:r>
              <w:rPr>
                <w:rFonts w:ascii="华文仿宋" w:hAnsi="华文仿宋" w:eastAsia="华文仿宋"/>
                <w:color w:val="000000"/>
                <w:sz w:val="32"/>
                <w:szCs w:val="32"/>
              </w:rPr>
              <w:t>完成率、信息公开率、系统填报处置率均达到100%</w:t>
            </w:r>
            <w:r>
              <w:rPr>
                <w:rFonts w:ascii="华文仿宋" w:hAnsi="华文仿宋" w:eastAsia="华文仿宋"/>
                <w:sz w:val="32"/>
                <w:szCs w:val="32"/>
              </w:rPr>
              <w:t>。强化风险监测，上报药械</w:t>
            </w:r>
            <w:r>
              <w:rPr>
                <w:rFonts w:ascii="华文仿宋" w:hAnsi="华文仿宋" w:eastAsia="华文仿宋"/>
                <w:color w:val="000000"/>
                <w:sz w:val="32"/>
                <w:szCs w:val="32"/>
              </w:rPr>
              <w:t>不良反应报告7220份，超额完成目标任务。强化应急管理，与长沙、郴州共同承办了国家示范性Ⅱ级食品安全事故应急演练；举办了应急管理业务培训班，68名从事一线应急管理的工作人员参训；妥善应对“龙口粉丝可燃烧”、“肉松是棉花”、“大米、紫菜是塑料”等舆情。</w:t>
            </w:r>
          </w:p>
          <w:p>
            <w:pPr>
              <w:topLinePunct/>
              <w:spacing w:line="60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2.突出从严整治。</w:t>
            </w:r>
            <w:r>
              <w:rPr>
                <w:rFonts w:ascii="华文仿宋" w:hAnsi="华文仿宋" w:eastAsia="华文仿宋"/>
                <w:sz w:val="32"/>
                <w:szCs w:val="32"/>
              </w:rPr>
              <w:t>根据省局部署要求，针对群众</w:t>
            </w:r>
            <w:r>
              <w:rPr>
                <w:rFonts w:hint="eastAsia" w:ascii="华文仿宋" w:hAnsi="华文仿宋" w:eastAsia="华文仿宋"/>
                <w:sz w:val="32"/>
                <w:szCs w:val="32"/>
                <w:lang w:eastAsia="zh-CN"/>
              </w:rPr>
              <w:t>反映</w:t>
            </w:r>
            <w:r>
              <w:rPr>
                <w:rFonts w:ascii="华文仿宋" w:hAnsi="华文仿宋" w:eastAsia="华文仿宋"/>
                <w:sz w:val="32"/>
                <w:szCs w:val="32"/>
              </w:rPr>
              <w:t>强烈的突出问题，</w:t>
            </w:r>
            <w:r>
              <w:rPr>
                <w:rFonts w:ascii="华文仿宋" w:hAnsi="华文仿宋" w:eastAsia="华文仿宋"/>
                <w:color w:val="000000"/>
                <w:sz w:val="32"/>
                <w:szCs w:val="32"/>
              </w:rPr>
              <w:t>深入开展“一清零两提高”、“双百行动”、“护老行动”、“护苗行动”、“秋风行动”、“清网行动”、豆制品、工地食堂、诊所等专项整治</w:t>
            </w:r>
            <w:r>
              <w:rPr>
                <w:rFonts w:ascii="华文仿宋" w:hAnsi="华文仿宋" w:eastAsia="华文仿宋"/>
                <w:sz w:val="32"/>
                <w:szCs w:val="32"/>
              </w:rPr>
              <w:t>，</w:t>
            </w:r>
            <w:r>
              <w:rPr>
                <w:rFonts w:ascii="华文仿宋" w:hAnsi="华文仿宋" w:eastAsia="华文仿宋"/>
                <w:color w:val="000000"/>
                <w:sz w:val="32"/>
                <w:szCs w:val="32"/>
              </w:rPr>
              <w:t>共检查市场主体2.7万余家次，核发食品经营许可证7300多个，城区悬证率达98%以上；督促补办健康证9100多个，发放监督公示牌2100多块；责令整改4148家，取缔经营户（摊贩）760户；收回药品零售企业GSP认证证书7张，直接注销3家；查处违法案件1099件，涉案货值2800万元，罚款金额630余万，移送司法机关案件16件，查办重大案件12件，公安厅督办2件。</w:t>
            </w:r>
          </w:p>
          <w:p>
            <w:pPr>
              <w:topLinePunct/>
              <w:spacing w:line="600" w:lineRule="exact"/>
              <w:ind w:firstLine="640" w:firstLineChars="200"/>
              <w:rPr>
                <w:rFonts w:ascii="华文仿宋" w:hAnsi="华文仿宋" w:eastAsia="华文仿宋"/>
                <w:sz w:val="32"/>
                <w:szCs w:val="32"/>
              </w:rPr>
            </w:pPr>
            <w:r>
              <w:rPr>
                <w:rFonts w:ascii="华文仿宋" w:hAnsi="华文仿宋" w:eastAsia="华文仿宋"/>
                <w:color w:val="000000"/>
                <w:sz w:val="32"/>
                <w:szCs w:val="32"/>
              </w:rPr>
              <w:t>3.助推产业发展。扎实推进供给侧结构性改革，</w:t>
            </w:r>
            <w:r>
              <w:rPr>
                <w:rFonts w:ascii="华文仿宋" w:hAnsi="华文仿宋" w:eastAsia="华文仿宋"/>
                <w:sz w:val="32"/>
                <w:szCs w:val="32"/>
              </w:rPr>
              <w:t>支持指导药品零售企业电子处方试点工作（微问诊），引导企业投资建成豆制品集中生产加工基地，促成国药控股收购湖南宁康医药公司，帮扶瑞邦等3家药品生产企业入编湖南省医疗器械“十三五”规划，新增和变更个改企“四上”企业19家，完成“个改企” 10家，提升食品药品产业供给质量和发展水平。</w:t>
            </w:r>
          </w:p>
          <w:p>
            <w:pPr>
              <w:topLinePunct/>
              <w:spacing w:line="60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（四）坚持联手互动，共治合力显著增强</w:t>
            </w:r>
          </w:p>
          <w:p>
            <w:pPr>
              <w:spacing w:line="560" w:lineRule="exact"/>
              <w:ind w:firstLine="640" w:firstLineChars="200"/>
              <w:rPr>
                <w:rFonts w:ascii="华文仿宋" w:hAnsi="华文仿宋" w:eastAsia="华文仿宋"/>
                <w:color w:val="000000"/>
                <w:sz w:val="32"/>
                <w:szCs w:val="32"/>
              </w:rPr>
            </w:pPr>
            <w:r>
              <w:rPr>
                <w:rFonts w:ascii="华文仿宋" w:hAnsi="华文仿宋" w:eastAsia="华文仿宋"/>
                <w:color w:val="000000"/>
                <w:sz w:val="32"/>
                <w:szCs w:val="32"/>
              </w:rPr>
              <w:t>1.广泛宣传教育。</w:t>
            </w:r>
            <w:r>
              <w:rPr>
                <w:rFonts w:ascii="华文仿宋" w:hAnsi="华文仿宋" w:eastAsia="华文仿宋"/>
                <w:sz w:val="32"/>
                <w:szCs w:val="32"/>
              </w:rPr>
              <w:t>开辟了株洲日报、晚报“食药安全”专栏；举行了“食药安全，伴你健康成长”主题绘画比赛、食品药品检验检测开放日和“你关注、我行动”食品安全“双十”征集等活动，吸引了110余万人次参加；组织拍摄《守护舌尖上的安全》和《保健食品消费安全温馨提示》宣传片；开展了“12331”主题日、食品安全宣传周、“安全用药月”</w:t>
            </w:r>
            <w:r>
              <w:rPr>
                <w:rFonts w:ascii="华文仿宋" w:hAnsi="华文仿宋" w:eastAsia="华文仿宋"/>
                <w:color w:val="000000"/>
                <w:sz w:val="32"/>
                <w:szCs w:val="32"/>
              </w:rPr>
              <w:t>、野生有毒蘑菇中毒“宣传月”</w:t>
            </w:r>
            <w:r>
              <w:rPr>
                <w:rFonts w:ascii="华文仿宋" w:hAnsi="华文仿宋" w:eastAsia="华文仿宋"/>
                <w:sz w:val="32"/>
                <w:szCs w:val="32"/>
              </w:rPr>
              <w:t>等宣传活动，举行讲座1000余场次，培训8900余人次，发放宣传册10万余份，推送科普常识780余条；受理来电来访2940件，同比增长8.93%，办结率100%。</w:t>
            </w:r>
          </w:p>
          <w:p>
            <w:pPr>
              <w:spacing w:line="600" w:lineRule="exact"/>
              <w:ind w:firstLine="640"/>
              <w:rPr>
                <w:rFonts w:ascii="华文仿宋" w:hAnsi="华文仿宋" w:eastAsia="华文仿宋"/>
                <w:color w:val="000000"/>
                <w:sz w:val="32"/>
                <w:szCs w:val="32"/>
              </w:rPr>
            </w:pPr>
            <w:r>
              <w:rPr>
                <w:rFonts w:ascii="华文仿宋" w:hAnsi="华文仿宋" w:eastAsia="华文仿宋"/>
                <w:color w:val="000000"/>
                <w:sz w:val="32"/>
                <w:szCs w:val="32"/>
              </w:rPr>
              <w:t>2.落实企业主责。</w:t>
            </w:r>
            <w:r>
              <w:rPr>
                <w:rFonts w:ascii="华文仿宋" w:hAnsi="华文仿宋" w:eastAsia="华文仿宋"/>
                <w:sz w:val="32"/>
                <w:szCs w:val="32"/>
              </w:rPr>
              <w:t>举办培训班10期培训1000余人次，集中约谈学校食堂、食药企业负责人800余人次，以宣传教育引导企业落实主体责任；</w:t>
            </w:r>
            <w:r>
              <w:rPr>
                <w:rFonts w:ascii="华文仿宋" w:hAnsi="华文仿宋" w:eastAsia="华文仿宋"/>
                <w:color w:val="000000"/>
                <w:sz w:val="32"/>
                <w:szCs w:val="32"/>
              </w:rPr>
              <w:t>充分发挥协会作用，号召企业签订食品安全责任承诺书，</w:t>
            </w:r>
            <w:r>
              <w:rPr>
                <w:rFonts w:ascii="华文仿宋" w:hAnsi="华文仿宋" w:eastAsia="华文仿宋"/>
                <w:snapToGrid w:val="0"/>
                <w:color w:val="000000"/>
                <w:sz w:val="32"/>
                <w:szCs w:val="32"/>
              </w:rPr>
              <w:t>大力推进食品安全责任保险，</w:t>
            </w:r>
            <w:r>
              <w:rPr>
                <w:rFonts w:ascii="华文仿宋" w:hAnsi="华文仿宋" w:eastAsia="华文仿宋"/>
                <w:color w:val="000000"/>
                <w:sz w:val="32"/>
                <w:szCs w:val="32"/>
              </w:rPr>
              <w:t>以行业自律推动企业落实主体责任；</w:t>
            </w:r>
            <w:r>
              <w:rPr>
                <w:rFonts w:ascii="华文仿宋" w:hAnsi="华文仿宋" w:eastAsia="华文仿宋"/>
                <w:snapToGrid w:val="0"/>
                <w:color w:val="000000"/>
                <w:sz w:val="32"/>
                <w:szCs w:val="32"/>
              </w:rPr>
              <w:t>将食品诚信体系纳入社会诚信体系建设，</w:t>
            </w:r>
            <w:r>
              <w:rPr>
                <w:rFonts w:ascii="华文仿宋" w:hAnsi="华文仿宋" w:eastAsia="华文仿宋"/>
                <w:color w:val="000000"/>
                <w:sz w:val="32"/>
                <w:szCs w:val="32"/>
              </w:rPr>
              <w:t>举行了“株洲食品药品安全十大典型案例”新闻发布会，</w:t>
            </w:r>
            <w:r>
              <w:rPr>
                <w:rFonts w:ascii="华文仿宋" w:hAnsi="华文仿宋" w:eastAsia="华文仿宋"/>
                <w:snapToGrid w:val="0"/>
                <w:color w:val="000000"/>
                <w:sz w:val="32"/>
                <w:szCs w:val="32"/>
              </w:rPr>
              <w:t>公布4批62家企业诚信等级，</w:t>
            </w:r>
            <w:r>
              <w:rPr>
                <w:rFonts w:ascii="华文仿宋" w:hAnsi="华文仿宋" w:eastAsia="华文仿宋"/>
                <w:color w:val="000000"/>
                <w:sz w:val="32"/>
                <w:szCs w:val="32"/>
              </w:rPr>
              <w:t>依法公示处罚、抽检、检查信息761期6950条，以信息公开倒逼企业落实主体责任。</w:t>
            </w:r>
          </w:p>
          <w:p>
            <w:pPr>
              <w:spacing w:line="600" w:lineRule="exact"/>
              <w:ind w:firstLine="640"/>
              <w:rPr>
                <w:rFonts w:ascii="华文仿宋" w:hAnsi="华文仿宋" w:eastAsia="华文仿宋"/>
                <w:color w:val="000000"/>
                <w:sz w:val="32"/>
                <w:szCs w:val="32"/>
              </w:rPr>
            </w:pPr>
            <w:r>
              <w:rPr>
                <w:rFonts w:ascii="华文仿宋" w:hAnsi="华文仿宋" w:eastAsia="华文仿宋"/>
                <w:color w:val="000000"/>
                <w:sz w:val="32"/>
                <w:szCs w:val="32"/>
              </w:rPr>
              <w:t>3.引导全民参与。健全12331投诉举报平台，完善投诉举报管理制度，推行有奖举报制度，安排有奖举报专项资金50万元，兑现举报奖励58起。全年共</w:t>
            </w:r>
            <w:r>
              <w:rPr>
                <w:rFonts w:ascii="华文仿宋" w:hAnsi="华文仿宋" w:eastAsia="华文仿宋"/>
                <w:sz w:val="32"/>
                <w:szCs w:val="32"/>
              </w:rPr>
              <w:t>受理来电来访2940件，办结市长热线转交办函277件，办结率100%，食品药品安全群防群治</w:t>
            </w:r>
            <w:r>
              <w:rPr>
                <w:rFonts w:hint="eastAsia" w:ascii="华文仿宋" w:hAnsi="华文仿宋" w:eastAsia="华文仿宋"/>
                <w:sz w:val="32"/>
                <w:szCs w:val="32"/>
              </w:rPr>
              <w:t>格局</w:t>
            </w:r>
            <w:r>
              <w:rPr>
                <w:rFonts w:ascii="华文仿宋" w:hAnsi="华文仿宋" w:eastAsia="华文仿宋"/>
                <w:sz w:val="32"/>
                <w:szCs w:val="32"/>
              </w:rPr>
              <w:t>逐步形成。</w:t>
            </w: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1240" w:type="dxa"/>
            <w:vAlign w:val="center"/>
          </w:tcPr>
          <w:p>
            <w:pPr>
              <w:jc w:val="center"/>
              <w:rPr>
                <w:rFonts w:hint="eastAsia" w:ascii="仿宋" w:hAnsi="仿宋" w:eastAsia="仿宋"/>
                <w:sz w:val="24"/>
              </w:rPr>
            </w:pPr>
            <w:r>
              <w:rPr>
                <w:rFonts w:hint="eastAsia" w:ascii="仿宋" w:hAnsi="仿宋" w:eastAsia="仿宋"/>
                <w:sz w:val="24"/>
              </w:rPr>
              <w:t>审核意见</w:t>
            </w:r>
          </w:p>
        </w:tc>
        <w:tc>
          <w:tcPr>
            <w:tcW w:w="4200" w:type="dxa"/>
            <w:gridSpan w:val="4"/>
          </w:tcPr>
          <w:p>
            <w:pPr>
              <w:jc w:val="left"/>
              <w:rPr>
                <w:rFonts w:hint="eastAsia" w:ascii="仿宋" w:hAnsi="仿宋" w:eastAsia="仿宋"/>
                <w:sz w:val="24"/>
              </w:rPr>
            </w:pPr>
            <w:r>
              <w:rPr>
                <w:rFonts w:hint="eastAsia" w:ascii="仿宋" w:hAnsi="仿宋" w:eastAsia="仿宋"/>
                <w:sz w:val="24"/>
              </w:rPr>
              <w:t>归口管理科室意见：（盖章）</w:t>
            </w:r>
          </w:p>
        </w:tc>
        <w:tc>
          <w:tcPr>
            <w:tcW w:w="4200" w:type="dxa"/>
          </w:tcPr>
          <w:p>
            <w:pPr>
              <w:jc w:val="left"/>
              <w:rPr>
                <w:rFonts w:hint="eastAsia" w:ascii="仿宋" w:hAnsi="仿宋" w:eastAsia="仿宋"/>
                <w:sz w:val="24"/>
              </w:rPr>
            </w:pPr>
            <w:r>
              <w:rPr>
                <w:rFonts w:hint="eastAsia" w:ascii="仿宋" w:hAnsi="仿宋" w:eastAsia="仿宋"/>
                <w:sz w:val="24"/>
              </w:rPr>
              <w:t>绩效管理科意见：（盖章）</w:t>
            </w:r>
          </w:p>
        </w:tc>
      </w:tr>
    </w:tbl>
    <w:p>
      <w:pPr>
        <w:spacing w:line="560" w:lineRule="exact"/>
        <w:rPr>
          <w:rFonts w:hint="eastAsia" w:ascii="仿宋" w:hAnsi="仿宋" w:eastAsia="仿宋"/>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CB"/>
    <w:rsid w:val="00232FB7"/>
    <w:rsid w:val="007C5BCB"/>
    <w:rsid w:val="007D3B49"/>
    <w:rsid w:val="6C3FA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507</Words>
  <Characters>2890</Characters>
  <Lines>24</Lines>
  <Paragraphs>6</Paragraphs>
  <TotalTime>1</TotalTime>
  <ScaleCrop>false</ScaleCrop>
  <LinksUpToDate>false</LinksUpToDate>
  <CharactersWithSpaces>3391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2019-01-07T17:15:00Z</dcterms:created>
  <dc:creator>sl</dc:creator>
  <cp:lastModifiedBy>greatwall</cp:lastModifiedBy>
  <dcterms:modified xsi:type="dcterms:W3CDTF">2024-01-18T09:56:52Z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