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left"/>
        <w:rPr>
          <w:rFonts w:cs="Times New Roman" w:asciiTheme="minorEastAsia" w:hAnsiTheme="minorEastAsia"/>
          <w:sz w:val="32"/>
          <w:szCs w:val="32"/>
        </w:rPr>
      </w:pPr>
      <w:r>
        <w:rPr>
          <w:rFonts w:hint="eastAsia" w:cs="Times New Roman" w:asciiTheme="minorEastAsia" w:hAnsiTheme="minorEastAsia"/>
          <w:sz w:val="32"/>
          <w:szCs w:val="32"/>
        </w:rPr>
        <w:t>附件一</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市场主体202</w:t>
      </w:r>
      <w:r>
        <w:rPr>
          <w:rFonts w:hint="eastAsia" w:ascii="方正小标宋简体" w:hAnsi="方正小标宋简体" w:eastAsia="方正小标宋简体" w:cs="方正小标宋简体"/>
          <w:sz w:val="44"/>
          <w:szCs w:val="44"/>
          <w:lang w:val="en-US" w:eastAsia="zh-CN"/>
        </w:rPr>
        <w:t>3</w:t>
      </w:r>
      <w:r>
        <w:rPr>
          <w:rFonts w:hint="eastAsia" w:ascii="方正小标宋简体" w:hAnsi="方正小标宋简体" w:eastAsia="方正小标宋简体" w:cs="方正小标宋简体"/>
          <w:sz w:val="44"/>
          <w:szCs w:val="44"/>
        </w:rPr>
        <w:t>年度年报填报指南</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spacing w:val="-4"/>
          <w:sz w:val="32"/>
          <w:szCs w:val="32"/>
        </w:rPr>
      </w:pPr>
      <w:r>
        <w:rPr>
          <w:rFonts w:hint="eastAsia" w:ascii="仿宋" w:hAnsi="仿宋" w:eastAsia="仿宋" w:cs="仿宋"/>
          <w:spacing w:val="-4"/>
          <w:sz w:val="32"/>
          <w:szCs w:val="32"/>
        </w:rPr>
        <w:t>一、填报流程</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spacing w:val="-4"/>
          <w:sz w:val="32"/>
          <w:szCs w:val="32"/>
        </w:rPr>
      </w:pPr>
      <w:r>
        <w:rPr>
          <w:rFonts w:hint="eastAsia" w:ascii="仿宋" w:hAnsi="仿宋" w:eastAsia="仿宋" w:cs="仿宋"/>
          <w:spacing w:val="-4"/>
          <w:sz w:val="32"/>
          <w:szCs w:val="32"/>
        </w:rPr>
        <w:t>说明：本填报指南以企业年报为例，农民专业合作社和个体工商户年报以此为参考。</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sz w:val="32"/>
          <w:szCs w:val="32"/>
        </w:rPr>
      </w:pPr>
      <w:r>
        <w:rPr>
          <w:rFonts w:hint="eastAsia" w:ascii="仿宋" w:hAnsi="仿宋" w:eastAsia="仿宋" w:cs="仿宋"/>
          <w:b/>
          <w:sz w:val="32"/>
          <w:szCs w:val="32"/>
        </w:rPr>
        <w:t>第一步：</w:t>
      </w:r>
      <w:r>
        <w:rPr>
          <w:rFonts w:hint="eastAsia" w:ascii="仿宋" w:hAnsi="仿宋" w:eastAsia="仿宋" w:cs="仿宋"/>
          <w:sz w:val="32"/>
          <w:szCs w:val="32"/>
        </w:rPr>
        <w:t>登录公示系统。</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spacing w:val="-2"/>
          <w:sz w:val="32"/>
          <w:szCs w:val="32"/>
        </w:rPr>
      </w:pPr>
      <w:r>
        <w:rPr>
          <w:rFonts w:hint="eastAsia" w:ascii="仿宋" w:hAnsi="仿宋" w:eastAsia="仿宋" w:cs="仿宋"/>
          <w:spacing w:val="-4"/>
          <w:sz w:val="32"/>
          <w:szCs w:val="32"/>
        </w:rPr>
        <w:t>登录国家企业信用信息公示系统（湖南）（http://hn.gsxt.gov.cn），</w:t>
      </w:r>
      <w:r>
        <w:rPr>
          <w:rFonts w:hint="eastAsia" w:ascii="仿宋" w:hAnsi="仿宋" w:eastAsia="仿宋" w:cs="仿宋"/>
          <w:sz w:val="32"/>
          <w:szCs w:val="32"/>
        </w:rPr>
        <w:t>点击“企业信息填报”，进入登录页面；或通过“湖南企业年报”App，点击“年报填写”，进入登录页面。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当前系统提供以下四种登录方式（“湖南企业年报”App支持前两种）：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1、联络员登录。采用发送短信验证码方式，请确保手机可以正常接收；如备案的联络员发生变更，请重新备案联络员信息后再进行申报（联络员备案请参考“联络员备案须知”）。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2、个体工商户年报登录。通过备案手机号/经营者身份证号登录，请确保备案手机号/经营者身份证号无误。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3、CA证书登录。请联系湖南省数字认证服务中心有限公司办理证书申请及有效期延期（联系电话：400-6682666）。</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4、电子营业执照登录。适用于已领取电子营业执照的企业。</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sz w:val="32"/>
          <w:szCs w:val="32"/>
        </w:rPr>
      </w:pPr>
      <w:r>
        <w:rPr>
          <w:rFonts w:hint="eastAsia" w:ascii="仿宋" w:hAnsi="仿宋" w:eastAsia="仿宋" w:cs="仿宋"/>
          <w:b/>
          <w:sz w:val="32"/>
          <w:szCs w:val="32"/>
        </w:rPr>
        <w:t>第二步：</w:t>
      </w:r>
      <w:r>
        <w:rPr>
          <w:rFonts w:hint="eastAsia" w:ascii="仿宋" w:hAnsi="仿宋" w:eastAsia="仿宋" w:cs="仿宋"/>
          <w:sz w:val="32"/>
          <w:szCs w:val="32"/>
        </w:rPr>
        <w:t>进入登录后首页，选择“年度报告填写”。（通过“湖南企业年报”App填报的略过此步）</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sz w:val="32"/>
          <w:szCs w:val="32"/>
        </w:rPr>
        <w:t>第三步：请仔细阅读填报须知</w:t>
      </w:r>
      <w:r>
        <w:rPr>
          <w:rFonts w:hint="eastAsia" w:ascii="仿宋" w:hAnsi="仿宋" w:eastAsia="仿宋" w:cs="仿宋"/>
          <w:sz w:val="32"/>
          <w:szCs w:val="32"/>
        </w:rPr>
        <w:t>，选择“我已阅读以上填报须知”，并“确认”。</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sz w:val="32"/>
          <w:szCs w:val="32"/>
        </w:rPr>
        <w:t>第四步：</w:t>
      </w:r>
      <w:r>
        <w:rPr>
          <w:rFonts w:hint="eastAsia" w:ascii="仿宋" w:hAnsi="仿宋" w:eastAsia="仿宋" w:cs="仿宋"/>
          <w:sz w:val="32"/>
          <w:szCs w:val="32"/>
        </w:rPr>
        <w:t>选择填报年度。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如往年未填报，须先补报往年年报，再报送本年度年报。</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sz w:val="32"/>
          <w:szCs w:val="32"/>
        </w:rPr>
        <w:t>第五步：</w:t>
      </w:r>
      <w:r>
        <w:rPr>
          <w:rFonts w:hint="eastAsia" w:ascii="仿宋" w:hAnsi="仿宋" w:eastAsia="仿宋" w:cs="仿宋"/>
          <w:sz w:val="32"/>
          <w:szCs w:val="32"/>
        </w:rPr>
        <w:t>填写年报信息。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按要求逐项填写并保存下列信息：</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sz w:val="32"/>
          <w:szCs w:val="32"/>
        </w:rPr>
      </w:pPr>
      <w:r>
        <w:rPr>
          <w:rFonts w:hint="eastAsia" w:ascii="仿宋" w:hAnsi="仿宋" w:eastAsia="仿宋" w:cs="仿宋"/>
          <w:b/>
          <w:sz w:val="32"/>
          <w:szCs w:val="32"/>
        </w:rPr>
        <w:t>1、疫苗生产许可证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可添加多条疫苗生产许可证信息，也可修改或删除信息。点击“添加”，填写相关信息，点击“保存”，返回“疫苗生产许可证”页面，再点击“保存”</w:t>
      </w:r>
      <w:r>
        <w:rPr>
          <w:rFonts w:hint="eastAsia" w:ascii="仿宋" w:hAnsi="仿宋" w:eastAsia="仿宋" w:cs="仿宋"/>
          <w:b/>
          <w:sz w:val="32"/>
          <w:szCs w:val="32"/>
        </w:rPr>
        <w:t>。</w:t>
      </w:r>
      <w:r>
        <w:rPr>
          <w:rFonts w:hint="eastAsia" w:ascii="仿宋" w:hAnsi="仿宋" w:eastAsia="仿宋" w:cs="仿宋"/>
          <w:sz w:val="32"/>
          <w:szCs w:val="32"/>
        </w:rPr>
        <w:t>企业无此信息时可以不填写该项内容。</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sz w:val="32"/>
          <w:szCs w:val="32"/>
        </w:rPr>
      </w:pPr>
      <w:r>
        <w:rPr>
          <w:rFonts w:hint="eastAsia" w:ascii="仿宋" w:hAnsi="仿宋" w:eastAsia="仿宋" w:cs="仿宋"/>
          <w:b/>
          <w:sz w:val="32"/>
          <w:szCs w:val="32"/>
        </w:rPr>
        <w:t>2、充装单位许可证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可添加多条充装单位许可证信息，也可修改或删除信息。点击“添加”，填写相关信息，点击“保存”，返回“充装单位许可证”页面，再点击“保存”。企业无此信息时可以不填写该项内容。</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sz w:val="32"/>
          <w:szCs w:val="32"/>
        </w:rPr>
      </w:pPr>
      <w:r>
        <w:rPr>
          <w:rFonts w:hint="eastAsia" w:ascii="仿宋" w:hAnsi="仿宋" w:eastAsia="仿宋" w:cs="仿宋"/>
          <w:b/>
          <w:sz w:val="32"/>
          <w:szCs w:val="32"/>
        </w:rPr>
        <w:t>3、特种设备生产许可证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可添加多条特种设备生产许信息，也可修改或删除信息。点击“添加”，填写相关信息，点击“保存”，返回“特种设备生产许”页面，再点击“保存”。企业无此信息时可以不填写该项内容。</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sz w:val="32"/>
          <w:szCs w:val="32"/>
        </w:rPr>
      </w:pPr>
      <w:r>
        <w:rPr>
          <w:rFonts w:hint="eastAsia" w:ascii="仿宋" w:hAnsi="仿宋" w:eastAsia="仿宋" w:cs="仿宋"/>
          <w:b/>
          <w:sz w:val="32"/>
          <w:szCs w:val="32"/>
        </w:rPr>
        <w:t>4、特种设备信息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填写特种设备信息的数据，点击“保存”。</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sz w:val="32"/>
          <w:szCs w:val="32"/>
        </w:rPr>
      </w:pPr>
      <w:r>
        <w:rPr>
          <w:rFonts w:hint="eastAsia" w:ascii="仿宋" w:hAnsi="仿宋" w:eastAsia="仿宋" w:cs="仿宋"/>
          <w:b/>
          <w:sz w:val="32"/>
          <w:szCs w:val="32"/>
        </w:rPr>
        <w:t>5、</w:t>
      </w:r>
      <w:r>
        <w:rPr>
          <w:rFonts w:hint="eastAsia" w:ascii="仿宋" w:hAnsi="仿宋" w:eastAsia="仿宋" w:cs="仿宋"/>
          <w:sz w:val="32"/>
          <w:szCs w:val="32"/>
        </w:rPr>
        <w:t>企业基本信息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填写企业基本信息，点击“保存”。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a、企业填报的通讯地址、邮政编码、联系电话、电子邮箱、经营状态、网站或网站信息均为报送时的信息，其余信息为截至202</w:t>
      </w:r>
      <w:r>
        <w:rPr>
          <w:rFonts w:hint="eastAsia" w:ascii="仿宋" w:hAnsi="仿宋" w:eastAsia="仿宋" w:cs="仿宋"/>
          <w:sz w:val="32"/>
          <w:szCs w:val="32"/>
          <w:lang w:val="en-US" w:eastAsia="zh-CN"/>
        </w:rPr>
        <w:t>3</w:t>
      </w:r>
      <w:r>
        <w:rPr>
          <w:rFonts w:hint="eastAsia" w:ascii="仿宋" w:hAnsi="仿宋" w:eastAsia="仿宋" w:cs="仿宋"/>
          <w:sz w:val="32"/>
          <w:szCs w:val="32"/>
        </w:rPr>
        <w:t>年12月31日的信息。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sz w:val="32"/>
          <w:szCs w:val="32"/>
        </w:rPr>
      </w:pPr>
      <w:r>
        <w:rPr>
          <w:rFonts w:hint="eastAsia" w:ascii="仿宋" w:hAnsi="仿宋" w:eastAsia="仿宋" w:cs="仿宋"/>
          <w:sz w:val="32"/>
          <w:szCs w:val="32"/>
        </w:rPr>
        <w:t>b、如填报年度有对外担保信息、网站或网店信息、股东股权转让信息、投资信息或购买其他公司股权信息，请在此页面选择“是”，选择“无”左侧信息栏相关信息则为灰色，无法填报。</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sz w:val="32"/>
          <w:szCs w:val="32"/>
        </w:rPr>
      </w:pPr>
      <w:r>
        <w:rPr>
          <w:rFonts w:hint="eastAsia" w:ascii="仿宋" w:hAnsi="仿宋" w:eastAsia="仿宋" w:cs="仿宋"/>
          <w:b/>
          <w:sz w:val="32"/>
          <w:szCs w:val="32"/>
        </w:rPr>
        <w:t>6、</w:t>
      </w:r>
      <w:r>
        <w:rPr>
          <w:rFonts w:hint="eastAsia" w:ascii="仿宋" w:hAnsi="仿宋" w:eastAsia="仿宋" w:cs="仿宋"/>
          <w:sz w:val="32"/>
          <w:szCs w:val="32"/>
        </w:rPr>
        <w:t>股东及出资信息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可添加多条股东及出资信息，也可修改或删除信息。点击“添加”，填写相关信息，点击“保存”，返回“股东及出资信息”页面，再点击“保存”。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sz w:val="32"/>
          <w:szCs w:val="32"/>
        </w:rPr>
      </w:pPr>
      <w:r>
        <w:rPr>
          <w:rFonts w:hint="eastAsia" w:ascii="仿宋" w:hAnsi="仿宋" w:eastAsia="仿宋" w:cs="仿宋"/>
          <w:sz w:val="32"/>
          <w:szCs w:val="32"/>
        </w:rPr>
        <w:t>说明：股东的认缴出资额总和应等于注册资本。</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sz w:val="32"/>
          <w:szCs w:val="32"/>
        </w:rPr>
        <w:t>7、</w:t>
      </w:r>
      <w:r>
        <w:rPr>
          <w:rFonts w:hint="eastAsia" w:ascii="仿宋" w:hAnsi="仿宋" w:eastAsia="仿宋" w:cs="仿宋"/>
          <w:sz w:val="32"/>
          <w:szCs w:val="32"/>
        </w:rPr>
        <w:t>网站或网店信息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sz w:val="32"/>
          <w:szCs w:val="32"/>
        </w:rPr>
      </w:pPr>
      <w:r>
        <w:rPr>
          <w:rFonts w:hint="eastAsia" w:ascii="仿宋" w:hAnsi="仿宋" w:eastAsia="仿宋" w:cs="仿宋"/>
          <w:sz w:val="32"/>
          <w:szCs w:val="32"/>
        </w:rPr>
        <w:t>可添加多条网站或网店信息，也可修改或删除信息。点击“添加”，填写相关信息，点击“保存”，返回“网站或网店信息”页面，再点击“保存”</w:t>
      </w:r>
      <w:r>
        <w:rPr>
          <w:rFonts w:hint="eastAsia" w:ascii="仿宋" w:hAnsi="仿宋" w:eastAsia="仿宋" w:cs="仿宋"/>
          <w:b/>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sz w:val="32"/>
          <w:szCs w:val="32"/>
        </w:rPr>
      </w:pPr>
      <w:r>
        <w:rPr>
          <w:rFonts w:hint="eastAsia" w:ascii="仿宋" w:hAnsi="仿宋" w:eastAsia="仿宋" w:cs="仿宋"/>
          <w:b/>
          <w:sz w:val="32"/>
          <w:szCs w:val="32"/>
        </w:rPr>
        <w:t>8、</w:t>
      </w:r>
      <w:r>
        <w:rPr>
          <w:rFonts w:hint="eastAsia" w:ascii="仿宋" w:hAnsi="仿宋" w:eastAsia="仿宋" w:cs="仿宋"/>
          <w:sz w:val="32"/>
          <w:szCs w:val="32"/>
        </w:rPr>
        <w:t>股权变更信息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可添加多条股权变更信息，也可修改或删除信息。点击“添加”，填写相关信息，点击“保存”，返回“股权变更信息”页面，再点击“保存”。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说明：股份有限公司不填报此项信息。</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sz w:val="32"/>
          <w:szCs w:val="32"/>
        </w:rPr>
      </w:pPr>
      <w:r>
        <w:rPr>
          <w:rFonts w:hint="eastAsia" w:ascii="仿宋" w:hAnsi="仿宋" w:eastAsia="仿宋" w:cs="仿宋"/>
          <w:b/>
          <w:sz w:val="32"/>
          <w:szCs w:val="32"/>
        </w:rPr>
        <w:t>9、</w:t>
      </w:r>
      <w:r>
        <w:rPr>
          <w:rFonts w:hint="eastAsia" w:ascii="仿宋" w:hAnsi="仿宋" w:eastAsia="仿宋" w:cs="仿宋"/>
          <w:sz w:val="32"/>
          <w:szCs w:val="32"/>
        </w:rPr>
        <w:t>对外投资信息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可添加多条对外投资信息，也可修改或删除信息。点击“添加”，填写相关信息，点击“保存”，返回“对外投资信息”页面，再点击“保存”。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说明：此项仅填报投资设立境内企业的信息（不包括设立的分公司）。</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sz w:val="32"/>
          <w:szCs w:val="32"/>
        </w:rPr>
      </w:pPr>
      <w:r>
        <w:rPr>
          <w:rFonts w:hint="eastAsia" w:ascii="仿宋" w:hAnsi="仿宋" w:eastAsia="仿宋" w:cs="仿宋"/>
          <w:b/>
          <w:sz w:val="32"/>
          <w:szCs w:val="32"/>
        </w:rPr>
        <w:t>10、</w:t>
      </w:r>
      <w:r>
        <w:rPr>
          <w:rFonts w:hint="eastAsia" w:ascii="仿宋" w:hAnsi="仿宋" w:eastAsia="仿宋" w:cs="仿宋"/>
          <w:sz w:val="32"/>
          <w:szCs w:val="32"/>
        </w:rPr>
        <w:t>资产状况信息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填写信息，点击“保存”。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说明：集团公司请按照母公司报表填报数据，不要使用合并报表数据；资产总额应该等于负债总额+所有者权益合计。</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sz w:val="32"/>
          <w:szCs w:val="32"/>
        </w:rPr>
      </w:pPr>
      <w:r>
        <w:rPr>
          <w:rFonts w:hint="eastAsia" w:ascii="仿宋" w:hAnsi="仿宋" w:eastAsia="仿宋" w:cs="仿宋"/>
          <w:b/>
          <w:sz w:val="32"/>
          <w:szCs w:val="32"/>
        </w:rPr>
        <w:t>11、</w:t>
      </w:r>
      <w:r>
        <w:rPr>
          <w:rFonts w:hint="eastAsia" w:ascii="仿宋" w:hAnsi="仿宋" w:eastAsia="仿宋" w:cs="仿宋"/>
          <w:sz w:val="32"/>
          <w:szCs w:val="32"/>
        </w:rPr>
        <w:t>对外担保信息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可添加多条对外担保信息，也可修改或删除信息。点击“添加”，填写相关信息，点击“保存”，返回“对外担保信息”页面，再点击“保存”。</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sz w:val="32"/>
          <w:szCs w:val="32"/>
        </w:rPr>
      </w:pPr>
      <w:r>
        <w:rPr>
          <w:rFonts w:hint="eastAsia" w:ascii="仿宋" w:hAnsi="仿宋" w:eastAsia="仿宋" w:cs="仿宋"/>
          <w:b/>
          <w:sz w:val="32"/>
          <w:szCs w:val="32"/>
        </w:rPr>
        <w:t>12、</w:t>
      </w:r>
      <w:r>
        <w:rPr>
          <w:rFonts w:hint="eastAsia" w:ascii="仿宋" w:hAnsi="仿宋" w:eastAsia="仿宋" w:cs="仿宋"/>
          <w:sz w:val="32"/>
          <w:szCs w:val="32"/>
        </w:rPr>
        <w:t>党建信息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填写党建信息，点击“保存”。</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sz w:val="32"/>
          <w:szCs w:val="32"/>
        </w:rPr>
      </w:pPr>
      <w:r>
        <w:rPr>
          <w:rFonts w:hint="eastAsia" w:ascii="仿宋" w:hAnsi="仿宋" w:eastAsia="仿宋" w:cs="仿宋"/>
          <w:b/>
          <w:sz w:val="32"/>
          <w:szCs w:val="32"/>
        </w:rPr>
        <w:t>13、</w:t>
      </w:r>
      <w:r>
        <w:rPr>
          <w:rFonts w:hint="eastAsia" w:ascii="仿宋" w:hAnsi="仿宋" w:eastAsia="仿宋" w:cs="仿宋"/>
          <w:sz w:val="32"/>
          <w:szCs w:val="32"/>
        </w:rPr>
        <w:t>团建信息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填写团建信息，点击“保存”。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提示：以上两项内容（党建信息、团建信息）仅部分企业需要填报，不需要填报的企业则不显示上述两项内容。</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sz w:val="32"/>
          <w:szCs w:val="32"/>
        </w:rPr>
      </w:pPr>
      <w:r>
        <w:rPr>
          <w:rFonts w:hint="eastAsia" w:ascii="仿宋" w:hAnsi="仿宋" w:eastAsia="仿宋" w:cs="仿宋"/>
          <w:b/>
          <w:sz w:val="32"/>
          <w:szCs w:val="32"/>
        </w:rPr>
        <w:t>14、</w:t>
      </w:r>
      <w:r>
        <w:rPr>
          <w:rFonts w:hint="eastAsia" w:ascii="仿宋" w:hAnsi="仿宋" w:eastAsia="仿宋" w:cs="仿宋"/>
          <w:sz w:val="32"/>
          <w:szCs w:val="32"/>
        </w:rPr>
        <w:t>社保信息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填写社保信息，点击“保存”。</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 w:hAnsi="仿宋" w:eastAsia="仿宋" w:cs="仿宋"/>
          <w:spacing w:val="-2"/>
          <w:sz w:val="32"/>
          <w:szCs w:val="32"/>
        </w:rPr>
      </w:pPr>
      <w:r>
        <w:rPr>
          <w:rFonts w:hint="eastAsia" w:ascii="仿宋" w:hAnsi="仿宋" w:eastAsia="仿宋" w:cs="仿宋"/>
          <w:spacing w:val="-2"/>
          <w:sz w:val="32"/>
          <w:szCs w:val="32"/>
        </w:rPr>
        <w:t>★★★海关管理企业还需要填报以下信息项。★★★</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sz w:val="32"/>
          <w:szCs w:val="32"/>
        </w:rPr>
        <w:t>15、</w:t>
      </w:r>
      <w:r>
        <w:rPr>
          <w:rFonts w:hint="eastAsia" w:ascii="仿宋" w:hAnsi="仿宋" w:eastAsia="仿宋" w:cs="仿宋"/>
          <w:sz w:val="32"/>
          <w:szCs w:val="32"/>
        </w:rPr>
        <w:t>报关信息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填写报关信息，点击“保存”。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a、所有信息项均为必填项，如果该项内容确无信息，应当填写“无”。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b、“经营补充信息”和“自律信息”为所报告年度的信息，其余信息均为报送时的信息。“自律信息”仅部分企业需要填报。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c、英文名称/地址，填写《对外贸易经营者备案登记表》、《外商投资企业设立备案回执》上的“经营者英文名称”或“企业名称（英文）”/“经营场所（英文）”，国际货运代理企业填《国际货运代理企业备案表》上的“企业英文名称”/“经营场所（英文）”，其他企业或组织机构可以根据情况填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pacing w:val="-2"/>
          <w:sz w:val="32"/>
          <w:szCs w:val="32"/>
        </w:rPr>
      </w:pPr>
      <w:r>
        <w:rPr>
          <w:rFonts w:hint="eastAsia" w:ascii="仿宋" w:hAnsi="仿宋" w:eastAsia="仿宋" w:cs="仿宋"/>
          <w:sz w:val="32"/>
          <w:szCs w:val="32"/>
        </w:rPr>
        <w:t>d、跨境贸易电子商务企业类型或非跨境贸易电子商务企业类型：根据企业情况勾选“电子</w:t>
      </w:r>
      <w:r>
        <w:rPr>
          <w:rFonts w:hint="eastAsia" w:ascii="仿宋" w:hAnsi="仿宋" w:eastAsia="仿宋" w:cs="仿宋"/>
          <w:spacing w:val="-2"/>
          <w:sz w:val="32"/>
          <w:szCs w:val="32"/>
        </w:rPr>
        <w:t>商务企业”“电子商务交易平台”“物流企业”“支付企业”“监管场所运营人”，可同时勾选多项；非跨境贸易电子商务企业不勾选。</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 w:hAnsi="仿宋" w:eastAsia="仿宋" w:cs="仿宋"/>
          <w:spacing w:val="-2"/>
          <w:sz w:val="32"/>
          <w:szCs w:val="32"/>
        </w:rPr>
      </w:pPr>
      <w:r>
        <w:rPr>
          <w:rFonts w:hint="eastAsia" w:ascii="仿宋" w:hAnsi="仿宋" w:eastAsia="仿宋" w:cs="仿宋"/>
          <w:spacing w:val="-2"/>
          <w:sz w:val="32"/>
          <w:szCs w:val="32"/>
        </w:rPr>
        <w:t>★★★外商投资企业还需要填报以下信息项。★★★</w:t>
      </w:r>
    </w:p>
    <w:p>
      <w:pPr>
        <w:keepNext w:val="0"/>
        <w:keepLines w:val="0"/>
        <w:pageBreakBefore w:val="0"/>
        <w:widowControl w:val="0"/>
        <w:kinsoku/>
        <w:wordWrap/>
        <w:overflowPunct/>
        <w:topLinePunct w:val="0"/>
        <w:autoSpaceDE/>
        <w:autoSpaceDN/>
        <w:bidi w:val="0"/>
        <w:adjustRightInd/>
        <w:snapToGrid/>
        <w:spacing w:line="560" w:lineRule="exact"/>
        <w:ind w:firstLine="635" w:firstLineChars="200"/>
        <w:textAlignment w:val="auto"/>
        <w:rPr>
          <w:rFonts w:hint="eastAsia" w:ascii="仿宋" w:hAnsi="仿宋" w:eastAsia="仿宋" w:cs="仿宋"/>
          <w:spacing w:val="-2"/>
          <w:sz w:val="32"/>
          <w:szCs w:val="32"/>
        </w:rPr>
      </w:pPr>
      <w:r>
        <w:rPr>
          <w:rFonts w:hint="eastAsia" w:ascii="仿宋" w:hAnsi="仿宋" w:eastAsia="仿宋" w:cs="仿宋"/>
          <w:b/>
          <w:bCs/>
          <w:spacing w:val="-2"/>
          <w:sz w:val="32"/>
          <w:szCs w:val="32"/>
        </w:rPr>
        <w:t>16、</w:t>
      </w:r>
      <w:r>
        <w:rPr>
          <w:rFonts w:hint="eastAsia" w:ascii="仿宋" w:hAnsi="仿宋" w:eastAsia="仿宋" w:cs="仿宋"/>
          <w:spacing w:val="-2"/>
          <w:sz w:val="32"/>
          <w:szCs w:val="32"/>
        </w:rPr>
        <w:t>外商投资企业基本情况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填写外资投资企业基本情况信息，然后点击“保存”。</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 w:hAnsi="仿宋" w:eastAsia="仿宋" w:cs="仿宋"/>
          <w:sz w:val="32"/>
          <w:szCs w:val="32"/>
        </w:rPr>
      </w:pPr>
      <w:r>
        <w:rPr>
          <w:rFonts w:hint="eastAsia" w:ascii="仿宋" w:hAnsi="仿宋" w:eastAsia="仿宋" w:cs="仿宋"/>
          <w:spacing w:val="-2"/>
          <w:sz w:val="32"/>
          <w:szCs w:val="32"/>
        </w:rPr>
        <w:t>填写</w:t>
      </w:r>
      <w:r>
        <w:rPr>
          <w:rFonts w:hint="eastAsia" w:ascii="仿宋" w:hAnsi="仿宋" w:eastAsia="仿宋" w:cs="仿宋"/>
          <w:sz w:val="32"/>
          <w:szCs w:val="32"/>
        </w:rPr>
        <w:t>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a、企业属性（上市公司）：根据公司发行股票实际情况填写，上市的证券市场选项可复选。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b、企业属性（功能性机构）：功能性机构，是指根据有关规定设立的外商投资采购中心、财务管理中心、结算中心、销售中心、分拨中心和其他功能性机构，以及商务部或省级商务主管部门认定的地区总部。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c、企业属性（研发中心）：根据《关于外商投资设立研发中心有关问题的通知》，外商投资研发中心是指从事自然科学及其相关科技领域的研究开发和实验发展（包括为研发活动服务的中间试验）的机构。其中，独立法人研发中心，是指外国投资者以企业方式设立的研发中心；非独立法人研发中心，是指外商投资企业以独立部门或分公司形式设立的研发中心，请分别填写分公司或内设部门研发中心的数量，至少为1，单位：个。</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d、企业属性（外商投资性公司）：根据《关于外商投资举办投资性公司的规定》、《外商投资举办投资性公司的补充规定》和有关省市的相关规定，外商投资性公司是指外国投资者在境内设立的从事直接投资的公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e、企业属性（高新技术企业）：是指根据《高新技术企业认定管理办法》的规定被认定为高新技术企业的外商投资企业，以企业所在地科技部门颁发的《高新技术企业证书》为准。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f、企业属性（技术先进型服务企业）：是指被认定为技术先进型服务企业的外商投资企业，以企业所在地科技部门颁发的《技术先进型服务企业证书》为准。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g、年末从业人数（总计）：指报告年度年末在企业（机构）及其分支机构工作并取得劳动报酬或者经营收入的全部人员数量，包含劳务派遣人员和临时工。单位：人。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h、年末从业人数（其中外籍职工）：指报告年度年末在企业（机构）工作并由企业（机构）支付劳动报酬的外国公民和台、港、澳人员。单位：人。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i、年末从业人数（大学及以上学历）：指报告年度年末企业（机构）中具有大专以上学历的从业人员数。单位：人。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j、本年职工薪酬：是指企业（机构）报告年度所属的纳税年度支付给在本企业任职或者受雇的员工的所有现金形式或者非现金形式的劳动报酬，包括基本工资、奖金、津贴、补贴、年终加薪、加班工资，以及与员工任职或者受雇有关的其他支出。以上列入企业的工资性支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k、有效发明专利数（境内知识产权行政部门授权）：指截至报告年度年末企业（机构）作为专利权人拥有的、经中国境内知识产权行政部门授权且在有效期内的发明专利件数。单位：项。</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 w:hAnsi="仿宋" w:eastAsia="仿宋" w:cs="仿宋"/>
          <w:spacing w:val="-2"/>
          <w:sz w:val="32"/>
          <w:szCs w:val="32"/>
        </w:rPr>
      </w:pPr>
      <w:r>
        <w:rPr>
          <w:rFonts w:hint="eastAsia" w:ascii="仿宋" w:hAnsi="仿宋" w:eastAsia="仿宋" w:cs="仿宋"/>
          <w:spacing w:val="-2"/>
          <w:sz w:val="32"/>
          <w:szCs w:val="32"/>
        </w:rPr>
        <w:t>l、有效发明专利数（</w:t>
      </w:r>
      <w:r>
        <w:rPr>
          <w:rFonts w:hint="eastAsia" w:ascii="仿宋" w:hAnsi="仿宋" w:eastAsia="仿宋" w:cs="仿宋"/>
          <w:sz w:val="32"/>
          <w:szCs w:val="32"/>
        </w:rPr>
        <w:t>境外知识产权</w:t>
      </w:r>
      <w:r>
        <w:rPr>
          <w:rFonts w:hint="eastAsia" w:ascii="仿宋" w:hAnsi="仿宋" w:eastAsia="仿宋" w:cs="仿宋"/>
          <w:spacing w:val="-2"/>
          <w:sz w:val="32"/>
          <w:szCs w:val="32"/>
        </w:rPr>
        <w:t>行政部门授权）：指截至报</w:t>
      </w:r>
      <w:r>
        <w:rPr>
          <w:rFonts w:hint="eastAsia" w:ascii="仿宋" w:hAnsi="仿宋" w:eastAsia="仿宋" w:cs="仿宋"/>
          <w:sz w:val="32"/>
          <w:szCs w:val="32"/>
        </w:rPr>
        <w:t>告年度年末企业（机构）作为专利权人拥有的、经有关国家/地区知识产权行政部门授权且在有效期内的发明专利件数。单位：项。</w:t>
      </w:r>
    </w:p>
    <w:p>
      <w:pPr>
        <w:keepNext w:val="0"/>
        <w:keepLines w:val="0"/>
        <w:pageBreakBefore w:val="0"/>
        <w:widowControl w:val="0"/>
        <w:kinsoku/>
        <w:wordWrap/>
        <w:overflowPunct/>
        <w:topLinePunct w:val="0"/>
        <w:autoSpaceDE/>
        <w:autoSpaceDN/>
        <w:bidi w:val="0"/>
        <w:adjustRightInd/>
        <w:snapToGrid/>
        <w:spacing w:line="560" w:lineRule="exact"/>
        <w:ind w:firstLine="635" w:firstLineChars="200"/>
        <w:textAlignment w:val="auto"/>
        <w:rPr>
          <w:rFonts w:hint="eastAsia" w:ascii="仿宋" w:hAnsi="仿宋" w:eastAsia="仿宋" w:cs="仿宋"/>
          <w:spacing w:val="-2"/>
          <w:sz w:val="32"/>
          <w:szCs w:val="32"/>
        </w:rPr>
      </w:pPr>
      <w:r>
        <w:rPr>
          <w:rFonts w:hint="eastAsia" w:ascii="仿宋" w:hAnsi="仿宋" w:eastAsia="仿宋" w:cs="仿宋"/>
          <w:b/>
          <w:bCs/>
          <w:spacing w:val="-2"/>
          <w:sz w:val="32"/>
          <w:szCs w:val="32"/>
        </w:rPr>
        <w:t>17、</w:t>
      </w:r>
      <w:r>
        <w:rPr>
          <w:rFonts w:hint="eastAsia" w:ascii="仿宋" w:hAnsi="仿宋" w:eastAsia="仿宋" w:cs="仿宋"/>
          <w:spacing w:val="-2"/>
          <w:sz w:val="32"/>
          <w:szCs w:val="32"/>
        </w:rPr>
        <w:t>投资者信息</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 w:hAnsi="仿宋" w:eastAsia="仿宋" w:cs="仿宋"/>
          <w:spacing w:val="-2"/>
          <w:sz w:val="32"/>
          <w:szCs w:val="32"/>
        </w:rPr>
      </w:pPr>
      <w:r>
        <w:rPr>
          <w:rFonts w:hint="eastAsia" w:ascii="仿宋" w:hAnsi="仿宋" w:eastAsia="仿宋" w:cs="仿宋"/>
          <w:spacing w:val="-2"/>
          <w:sz w:val="32"/>
          <w:szCs w:val="32"/>
        </w:rPr>
        <w:t>填写外商投资企业投资者情况，然后点击“保存”</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 w:hAnsi="仿宋" w:eastAsia="仿宋" w:cs="仿宋"/>
          <w:spacing w:val="-2"/>
          <w:sz w:val="32"/>
          <w:szCs w:val="32"/>
        </w:rPr>
      </w:pPr>
      <w:r>
        <w:rPr>
          <w:rFonts w:hint="eastAsia" w:ascii="仿宋" w:hAnsi="仿宋" w:eastAsia="仿宋" w:cs="仿宋"/>
          <w:spacing w:val="-2"/>
          <w:sz w:val="32"/>
          <w:szCs w:val="32"/>
        </w:rPr>
        <w:t>填写说明：</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 w:hAnsi="仿宋" w:eastAsia="仿宋" w:cs="仿宋"/>
          <w:spacing w:val="-2"/>
          <w:sz w:val="32"/>
          <w:szCs w:val="32"/>
        </w:rPr>
      </w:pPr>
      <w:r>
        <w:rPr>
          <w:rFonts w:hint="eastAsia" w:ascii="仿宋" w:hAnsi="仿宋" w:eastAsia="仿宋" w:cs="仿宋"/>
          <w:spacing w:val="-2"/>
          <w:sz w:val="32"/>
          <w:szCs w:val="32"/>
        </w:rPr>
        <w:t>a、资金来源地：根据境外投资者资金的实际来源国家/地区填写。投资者是外商投资的投资性公司或创业投资企业等情况的，资金来源地请填写“中国”。</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 w:hAnsi="仿宋" w:eastAsia="仿宋" w:cs="仿宋"/>
          <w:spacing w:val="-2"/>
          <w:sz w:val="32"/>
          <w:szCs w:val="32"/>
        </w:rPr>
      </w:pPr>
      <w:r>
        <w:rPr>
          <w:rFonts w:hint="eastAsia" w:ascii="仿宋" w:hAnsi="仿宋" w:eastAsia="仿宋" w:cs="仿宋"/>
          <w:spacing w:val="-2"/>
          <w:sz w:val="32"/>
          <w:szCs w:val="32"/>
        </w:rPr>
        <w:t>b、世界500强企业参与投资情况：根据境外投资者的投资者是否曾入选美国《财富》杂志评选的“全球最大五百家公司”排行榜实际情况填写。</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 w:hAnsi="仿宋" w:eastAsia="仿宋" w:cs="仿宋"/>
          <w:spacing w:val="-2"/>
          <w:sz w:val="32"/>
          <w:szCs w:val="32"/>
        </w:rPr>
      </w:pPr>
      <w:r>
        <w:rPr>
          <w:rFonts w:hint="eastAsia" w:ascii="仿宋" w:hAnsi="仿宋" w:eastAsia="仿宋" w:cs="仿宋"/>
          <w:spacing w:val="-2"/>
          <w:sz w:val="32"/>
          <w:szCs w:val="32"/>
        </w:rPr>
        <w:t>c、反向投资股权投资额：反向投资，是指本企业拥有的境外投资者的股权。股权投资额是指企业对境外投资者的实际出资额，不包括股东贷款。</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 w:hAnsi="仿宋" w:eastAsia="仿宋" w:cs="仿宋"/>
          <w:spacing w:val="-2"/>
          <w:sz w:val="32"/>
          <w:szCs w:val="32"/>
        </w:rPr>
      </w:pPr>
      <w:r>
        <w:rPr>
          <w:rFonts w:hint="eastAsia" w:ascii="仿宋" w:hAnsi="仿宋" w:eastAsia="仿宋" w:cs="仿宋"/>
          <w:spacing w:val="-2"/>
          <w:sz w:val="32"/>
          <w:szCs w:val="32"/>
        </w:rPr>
        <w:t>d、反向投资股权比例：是指本企业拥有的境外投资者的股权投资额在境外投资者所有股权中所占的比例。</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 w:hAnsi="仿宋" w:eastAsia="仿宋" w:cs="仿宋"/>
          <w:spacing w:val="-2"/>
          <w:sz w:val="32"/>
          <w:szCs w:val="32"/>
        </w:rPr>
      </w:pPr>
      <w:r>
        <w:rPr>
          <w:rFonts w:hint="eastAsia" w:ascii="仿宋" w:hAnsi="仿宋" w:eastAsia="仿宋" w:cs="仿宋"/>
          <w:spacing w:val="-2"/>
          <w:sz w:val="32"/>
          <w:szCs w:val="32"/>
        </w:rPr>
        <w:t>e、投资者最终实际控制人：是指通过股份、股权、财产份额、表决权或者其他类似权益最终直接或间接对企业（机构）实现控制的自然人、企业、政府机构或国际组织。实际控制人是境外的，需追溯至境外上市公司、境外自然人、外国政府机构（含政府基金）或国际组织。</w:t>
      </w:r>
    </w:p>
    <w:p>
      <w:pPr>
        <w:keepNext w:val="0"/>
        <w:keepLines w:val="0"/>
        <w:pageBreakBefore w:val="0"/>
        <w:widowControl w:val="0"/>
        <w:kinsoku/>
        <w:wordWrap/>
        <w:overflowPunct/>
        <w:topLinePunct w:val="0"/>
        <w:autoSpaceDE/>
        <w:autoSpaceDN/>
        <w:bidi w:val="0"/>
        <w:adjustRightInd/>
        <w:snapToGrid/>
        <w:spacing w:line="560" w:lineRule="exact"/>
        <w:ind w:firstLine="635" w:firstLineChars="200"/>
        <w:textAlignment w:val="auto"/>
        <w:rPr>
          <w:rFonts w:hint="eastAsia" w:ascii="仿宋" w:hAnsi="仿宋" w:eastAsia="仿宋" w:cs="仿宋"/>
          <w:spacing w:val="-2"/>
          <w:sz w:val="32"/>
          <w:szCs w:val="32"/>
        </w:rPr>
      </w:pPr>
      <w:r>
        <w:rPr>
          <w:rFonts w:hint="eastAsia" w:ascii="仿宋" w:hAnsi="仿宋" w:eastAsia="仿宋" w:cs="仿宋"/>
          <w:b/>
          <w:bCs/>
          <w:spacing w:val="-2"/>
          <w:sz w:val="32"/>
          <w:szCs w:val="32"/>
        </w:rPr>
        <w:t>18、</w:t>
      </w:r>
      <w:r>
        <w:rPr>
          <w:rFonts w:hint="eastAsia" w:ascii="仿宋" w:hAnsi="仿宋" w:eastAsia="仿宋" w:cs="仿宋"/>
          <w:spacing w:val="-2"/>
          <w:sz w:val="32"/>
          <w:szCs w:val="32"/>
        </w:rPr>
        <w:t>外商投资经营情况</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 w:hAnsi="仿宋" w:eastAsia="仿宋" w:cs="仿宋"/>
          <w:spacing w:val="-2"/>
          <w:sz w:val="32"/>
          <w:szCs w:val="32"/>
        </w:rPr>
      </w:pPr>
      <w:r>
        <w:rPr>
          <w:rFonts w:hint="eastAsia" w:ascii="仿宋" w:hAnsi="仿宋" w:eastAsia="仿宋" w:cs="仿宋"/>
          <w:spacing w:val="-2"/>
          <w:sz w:val="32"/>
          <w:szCs w:val="32"/>
        </w:rPr>
        <w:t>填写外商投资企业经营情况，然后点击“保存”。</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 w:hAnsi="仿宋" w:eastAsia="仿宋" w:cs="仿宋"/>
          <w:spacing w:val="-2"/>
          <w:sz w:val="32"/>
          <w:szCs w:val="32"/>
        </w:rPr>
      </w:pPr>
      <w:r>
        <w:rPr>
          <w:rFonts w:hint="eastAsia" w:ascii="仿宋" w:hAnsi="仿宋" w:eastAsia="仿宋" w:cs="仿宋"/>
          <w:spacing w:val="-2"/>
          <w:sz w:val="32"/>
          <w:szCs w:val="32"/>
        </w:rPr>
        <w:t>填写说明：</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 w:hAnsi="仿宋" w:eastAsia="仿宋" w:cs="仿宋"/>
          <w:spacing w:val="-2"/>
          <w:sz w:val="32"/>
          <w:szCs w:val="32"/>
        </w:rPr>
      </w:pPr>
      <w:r>
        <w:rPr>
          <w:rFonts w:hint="eastAsia" w:ascii="仿宋" w:hAnsi="仿宋" w:eastAsia="仿宋" w:cs="仿宋"/>
          <w:spacing w:val="-2"/>
          <w:sz w:val="32"/>
          <w:szCs w:val="32"/>
        </w:rPr>
        <w:t>销售（营业）收入：指报告年度企业（机构）经营主要业务和其他业务所取得的收入总额。</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 w:hAnsi="仿宋" w:eastAsia="仿宋" w:cs="仿宋"/>
          <w:spacing w:val="-2"/>
          <w:sz w:val="32"/>
          <w:szCs w:val="32"/>
        </w:rPr>
      </w:pPr>
      <w:r>
        <w:rPr>
          <w:rFonts w:hint="eastAsia" w:ascii="仿宋" w:hAnsi="仿宋" w:eastAsia="仿宋" w:cs="仿宋"/>
          <w:spacing w:val="-2"/>
          <w:sz w:val="32"/>
          <w:szCs w:val="32"/>
        </w:rPr>
        <w:t>营业成本：包括主营业务成本与其他业务成本支出。</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 w:hAnsi="仿宋" w:eastAsia="仿宋" w:cs="仿宋"/>
          <w:spacing w:val="-2"/>
          <w:sz w:val="32"/>
          <w:szCs w:val="32"/>
        </w:rPr>
      </w:pPr>
      <w:r>
        <w:rPr>
          <w:rFonts w:hint="eastAsia" w:ascii="仿宋" w:hAnsi="仿宋" w:eastAsia="仿宋" w:cs="仿宋"/>
          <w:spacing w:val="-2"/>
          <w:sz w:val="32"/>
          <w:szCs w:val="32"/>
        </w:rPr>
        <w:t>营业费用：指报告年度企业（机构）在经营过程中发生的费用。</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 w:hAnsi="仿宋" w:eastAsia="仿宋" w:cs="仿宋"/>
          <w:spacing w:val="-2"/>
          <w:sz w:val="32"/>
          <w:szCs w:val="32"/>
        </w:rPr>
      </w:pPr>
      <w:r>
        <w:rPr>
          <w:rFonts w:hint="eastAsia" w:ascii="仿宋" w:hAnsi="仿宋" w:eastAsia="仿宋" w:cs="仿宋"/>
          <w:spacing w:val="-2"/>
          <w:sz w:val="32"/>
          <w:szCs w:val="32"/>
        </w:rPr>
        <w:t>研发投入：指报告年度企业（机构）研究与开发过程中发生的各项支出。</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 w:hAnsi="仿宋" w:eastAsia="仿宋" w:cs="仿宋"/>
          <w:spacing w:val="-2"/>
          <w:sz w:val="32"/>
          <w:szCs w:val="32"/>
        </w:rPr>
      </w:pPr>
      <w:r>
        <w:rPr>
          <w:rFonts w:hint="eastAsia" w:ascii="仿宋" w:hAnsi="仿宋" w:eastAsia="仿宋" w:cs="仿宋"/>
          <w:spacing w:val="-2"/>
          <w:sz w:val="32"/>
          <w:szCs w:val="32"/>
        </w:rPr>
        <w:t>纳税总额：指报告年度企业（机构）实际缴纳税收总额。</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 w:hAnsi="仿宋" w:eastAsia="仿宋" w:cs="仿宋"/>
          <w:spacing w:val="-2"/>
          <w:sz w:val="32"/>
          <w:szCs w:val="32"/>
        </w:rPr>
      </w:pPr>
      <w:r>
        <w:rPr>
          <w:rFonts w:hint="eastAsia" w:ascii="仿宋" w:hAnsi="仿宋" w:eastAsia="仿宋" w:cs="仿宋"/>
          <w:spacing w:val="-2"/>
          <w:sz w:val="32"/>
          <w:szCs w:val="32"/>
        </w:rPr>
        <w:t>增值税：指报告年度企业（机构）实际缴纳的增值税。</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 w:hAnsi="仿宋" w:eastAsia="仿宋" w:cs="仿宋"/>
          <w:spacing w:val="-2"/>
          <w:sz w:val="32"/>
          <w:szCs w:val="32"/>
        </w:rPr>
      </w:pPr>
      <w:r>
        <w:rPr>
          <w:rFonts w:hint="eastAsia" w:ascii="仿宋" w:hAnsi="仿宋" w:eastAsia="仿宋" w:cs="仿宋"/>
          <w:spacing w:val="-2"/>
          <w:sz w:val="32"/>
          <w:szCs w:val="32"/>
        </w:rPr>
        <w:t>消费税：指报告年度企业（机构）实际缴纳的消费税。</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 w:hAnsi="仿宋" w:eastAsia="仿宋" w:cs="仿宋"/>
          <w:spacing w:val="-2"/>
          <w:sz w:val="32"/>
          <w:szCs w:val="32"/>
        </w:rPr>
      </w:pPr>
      <w:r>
        <w:rPr>
          <w:rFonts w:hint="eastAsia" w:ascii="仿宋" w:hAnsi="仿宋" w:eastAsia="仿宋" w:cs="仿宋"/>
          <w:spacing w:val="-2"/>
          <w:sz w:val="32"/>
          <w:szCs w:val="32"/>
        </w:rPr>
        <w:t>营业税：指报告年度企业（机构）实际缴纳的营业税。</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 w:hAnsi="仿宋" w:eastAsia="仿宋" w:cs="仿宋"/>
          <w:spacing w:val="-2"/>
          <w:sz w:val="32"/>
          <w:szCs w:val="32"/>
        </w:rPr>
      </w:pPr>
      <w:r>
        <w:rPr>
          <w:rFonts w:hint="eastAsia" w:ascii="仿宋" w:hAnsi="仿宋" w:eastAsia="仿宋" w:cs="仿宋"/>
          <w:spacing w:val="-2"/>
          <w:sz w:val="32"/>
          <w:szCs w:val="32"/>
        </w:rPr>
        <w:t>企业所得税：指报告年度企业（机构）实际缴纳的企业所得税。</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 w:hAnsi="仿宋" w:eastAsia="仿宋" w:cs="仿宋"/>
          <w:spacing w:val="-2"/>
          <w:sz w:val="32"/>
          <w:szCs w:val="32"/>
        </w:rPr>
      </w:pPr>
      <w:r>
        <w:rPr>
          <w:rFonts w:hint="eastAsia" w:ascii="仿宋" w:hAnsi="仿宋" w:eastAsia="仿宋" w:cs="仿宋"/>
          <w:spacing w:val="-2"/>
          <w:sz w:val="32"/>
          <w:szCs w:val="32"/>
        </w:rPr>
        <w:t>个人所得税：指报告年度企业（机构）实际缴纳的个人所得税。</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 w:hAnsi="仿宋" w:eastAsia="仿宋" w:cs="仿宋"/>
          <w:spacing w:val="-2"/>
          <w:sz w:val="32"/>
          <w:szCs w:val="32"/>
        </w:rPr>
      </w:pPr>
      <w:r>
        <w:rPr>
          <w:rFonts w:hint="eastAsia" w:ascii="仿宋" w:hAnsi="仿宋" w:eastAsia="仿宋" w:cs="仿宋"/>
          <w:spacing w:val="-2"/>
          <w:sz w:val="32"/>
          <w:szCs w:val="32"/>
        </w:rPr>
        <w:t>关税：指报告年度企业（机构）实际缴纳的关税。</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 w:hAnsi="仿宋" w:eastAsia="仿宋" w:cs="仿宋"/>
          <w:spacing w:val="-2"/>
          <w:sz w:val="32"/>
          <w:szCs w:val="32"/>
        </w:rPr>
      </w:pPr>
      <w:r>
        <w:rPr>
          <w:rFonts w:hint="eastAsia" w:ascii="仿宋" w:hAnsi="仿宋" w:eastAsia="仿宋" w:cs="仿宋"/>
          <w:spacing w:val="-2"/>
          <w:sz w:val="32"/>
          <w:szCs w:val="32"/>
        </w:rPr>
        <w:t>利润总额：指企业（机构）在报告年度的经营成果，包括收入减去费用后的净额、直接计入当期利润的利得和损失等，亏损用“-”表示。按报告年度财务会计报告中“利润表”所披露的“利润总额”科目发生额填写。</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 w:hAnsi="仿宋" w:eastAsia="仿宋" w:cs="仿宋"/>
          <w:spacing w:val="-2"/>
          <w:sz w:val="32"/>
          <w:szCs w:val="32"/>
        </w:rPr>
      </w:pPr>
      <w:r>
        <w:rPr>
          <w:rFonts w:hint="eastAsia" w:ascii="仿宋" w:hAnsi="仿宋" w:eastAsia="仿宋" w:cs="仿宋"/>
          <w:spacing w:val="-2"/>
          <w:sz w:val="32"/>
          <w:szCs w:val="32"/>
        </w:rPr>
        <w:t>净利润：指企业（机构）在报告年度实现的净利润，亏损用“-”表示。按当年财务会计报告中“利润表”所披露的“净利润”科目发生额填写。</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 w:hAnsi="仿宋" w:eastAsia="仿宋" w:cs="仿宋"/>
          <w:spacing w:val="-2"/>
          <w:sz w:val="32"/>
          <w:szCs w:val="32"/>
        </w:rPr>
      </w:pPr>
      <w:r>
        <w:rPr>
          <w:rFonts w:hint="eastAsia" w:ascii="仿宋" w:hAnsi="仿宋" w:eastAsia="仿宋" w:cs="仿宋"/>
          <w:spacing w:val="-2"/>
          <w:sz w:val="32"/>
          <w:szCs w:val="32"/>
        </w:rPr>
        <w:t>外方股东享有的净利润：净利润中归属于外方股东的部分，按外方股东股权比例或约定比例（符合相关法律法规规定）乘以企业财务报表中的净利润。</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 w:hAnsi="仿宋" w:eastAsia="仿宋" w:cs="仿宋"/>
          <w:spacing w:val="-2"/>
          <w:sz w:val="32"/>
          <w:szCs w:val="32"/>
        </w:rPr>
      </w:pPr>
      <w:r>
        <w:rPr>
          <w:rFonts w:hint="eastAsia" w:ascii="仿宋" w:hAnsi="仿宋" w:eastAsia="仿宋" w:cs="仿宋"/>
          <w:spacing w:val="-2"/>
          <w:sz w:val="32"/>
          <w:szCs w:val="32"/>
        </w:rPr>
        <w:t>分配外方股东的利润：指报告年度实际分配外方股东的利润。</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 w:hAnsi="仿宋" w:eastAsia="仿宋" w:cs="仿宋"/>
          <w:spacing w:val="-2"/>
          <w:sz w:val="32"/>
          <w:szCs w:val="32"/>
        </w:rPr>
      </w:pPr>
      <w:r>
        <w:rPr>
          <w:rFonts w:hint="eastAsia" w:ascii="仿宋" w:hAnsi="仿宋" w:eastAsia="仿宋" w:cs="仿宋"/>
          <w:spacing w:val="-2"/>
          <w:sz w:val="32"/>
          <w:szCs w:val="32"/>
        </w:rPr>
        <w:t>汇往外方股东的利润：指报告年度实际汇往外方股东的利润。</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 w:hAnsi="仿宋" w:eastAsia="仿宋" w:cs="仿宋"/>
          <w:spacing w:val="-2"/>
          <w:sz w:val="32"/>
          <w:szCs w:val="32"/>
        </w:rPr>
      </w:pPr>
      <w:r>
        <w:rPr>
          <w:rFonts w:hint="eastAsia" w:ascii="仿宋" w:hAnsi="仿宋" w:eastAsia="仿宋" w:cs="仿宋"/>
          <w:spacing w:val="-2"/>
          <w:sz w:val="32"/>
          <w:szCs w:val="32"/>
        </w:rPr>
        <w:t>外方股东利润转投资：指报告年度外方股东利润转投资金额。</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 w:hAnsi="仿宋" w:eastAsia="仿宋" w:cs="仿宋"/>
          <w:spacing w:val="-2"/>
          <w:sz w:val="32"/>
          <w:szCs w:val="32"/>
        </w:rPr>
      </w:pPr>
      <w:r>
        <w:rPr>
          <w:rFonts w:hint="eastAsia" w:ascii="仿宋" w:hAnsi="仿宋" w:eastAsia="仿宋" w:cs="仿宋"/>
          <w:spacing w:val="-2"/>
          <w:sz w:val="32"/>
          <w:szCs w:val="32"/>
        </w:rPr>
        <w:t>资产总额：与会计准则中资产负债表的概念一致。</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 w:hAnsi="仿宋" w:eastAsia="仿宋" w:cs="仿宋"/>
          <w:spacing w:val="-2"/>
          <w:sz w:val="32"/>
          <w:szCs w:val="32"/>
        </w:rPr>
      </w:pPr>
      <w:r>
        <w:rPr>
          <w:rFonts w:hint="eastAsia" w:ascii="仿宋" w:hAnsi="仿宋" w:eastAsia="仿宋" w:cs="仿宋"/>
          <w:spacing w:val="-2"/>
          <w:sz w:val="32"/>
          <w:szCs w:val="32"/>
        </w:rPr>
        <w:t>流动资产：与会计准则中资产负债表的概念一致。</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 w:hAnsi="仿宋" w:eastAsia="仿宋" w:cs="仿宋"/>
          <w:spacing w:val="-2"/>
          <w:sz w:val="32"/>
          <w:szCs w:val="32"/>
        </w:rPr>
      </w:pPr>
      <w:r>
        <w:rPr>
          <w:rFonts w:hint="eastAsia" w:ascii="仿宋" w:hAnsi="仿宋" w:eastAsia="仿宋" w:cs="仿宋"/>
          <w:spacing w:val="-2"/>
          <w:sz w:val="32"/>
          <w:szCs w:val="32"/>
        </w:rPr>
        <w:t>其他应收款：与会计准则中资产负债表的概念一致。</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 w:hAnsi="仿宋" w:eastAsia="仿宋" w:cs="仿宋"/>
          <w:spacing w:val="-2"/>
          <w:sz w:val="32"/>
          <w:szCs w:val="32"/>
        </w:rPr>
      </w:pPr>
      <w:r>
        <w:rPr>
          <w:rFonts w:hint="eastAsia" w:ascii="仿宋" w:hAnsi="仿宋" w:eastAsia="仿宋" w:cs="仿宋"/>
          <w:spacing w:val="-2"/>
          <w:sz w:val="32"/>
          <w:szCs w:val="32"/>
        </w:rPr>
        <w:t>非流动资产：与会计准则中资产负债表的概念一致。</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 w:hAnsi="仿宋" w:eastAsia="仿宋" w:cs="仿宋"/>
          <w:spacing w:val="-2"/>
          <w:sz w:val="32"/>
          <w:szCs w:val="32"/>
        </w:rPr>
      </w:pPr>
      <w:r>
        <w:rPr>
          <w:rFonts w:hint="eastAsia" w:ascii="仿宋" w:hAnsi="仿宋" w:eastAsia="仿宋" w:cs="仿宋"/>
          <w:spacing w:val="-2"/>
          <w:sz w:val="32"/>
          <w:szCs w:val="32"/>
        </w:rPr>
        <w:t>非流动资产-长期股权投资：与会计准则中资产负债表的概念一致。</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 w:hAnsi="仿宋" w:eastAsia="仿宋" w:cs="仿宋"/>
          <w:spacing w:val="-2"/>
          <w:sz w:val="32"/>
          <w:szCs w:val="32"/>
        </w:rPr>
      </w:pPr>
      <w:r>
        <w:rPr>
          <w:rFonts w:hint="eastAsia" w:ascii="仿宋" w:hAnsi="仿宋" w:eastAsia="仿宋" w:cs="仿宋"/>
          <w:spacing w:val="-2"/>
          <w:sz w:val="32"/>
          <w:szCs w:val="32"/>
        </w:rPr>
        <w:t>非流动资产-固定资产：与会计准则中资产负债表的概念一致。</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 w:hAnsi="仿宋" w:eastAsia="仿宋" w:cs="仿宋"/>
          <w:spacing w:val="-2"/>
          <w:sz w:val="32"/>
          <w:szCs w:val="32"/>
        </w:rPr>
      </w:pPr>
      <w:r>
        <w:rPr>
          <w:rFonts w:hint="eastAsia" w:ascii="仿宋" w:hAnsi="仿宋" w:eastAsia="仿宋" w:cs="仿宋"/>
          <w:spacing w:val="-2"/>
          <w:sz w:val="32"/>
          <w:szCs w:val="32"/>
        </w:rPr>
        <w:t>非流动资产-无形资产：与会计准则中资产负债表的概念一致。</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 w:hAnsi="仿宋" w:eastAsia="仿宋" w:cs="仿宋"/>
          <w:spacing w:val="-2"/>
          <w:sz w:val="32"/>
          <w:szCs w:val="32"/>
        </w:rPr>
      </w:pPr>
      <w:r>
        <w:rPr>
          <w:rFonts w:hint="eastAsia" w:ascii="仿宋" w:hAnsi="仿宋" w:eastAsia="仿宋" w:cs="仿宋"/>
          <w:spacing w:val="-2"/>
          <w:sz w:val="32"/>
          <w:szCs w:val="32"/>
        </w:rPr>
        <w:t>负债总额：与会计准则中资产负债表的概念一致。</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 w:hAnsi="仿宋" w:eastAsia="仿宋" w:cs="仿宋"/>
          <w:spacing w:val="-2"/>
          <w:sz w:val="32"/>
          <w:szCs w:val="32"/>
        </w:rPr>
      </w:pPr>
      <w:r>
        <w:rPr>
          <w:rFonts w:hint="eastAsia" w:ascii="仿宋" w:hAnsi="仿宋" w:eastAsia="仿宋" w:cs="仿宋"/>
          <w:spacing w:val="-2"/>
          <w:sz w:val="32"/>
          <w:szCs w:val="32"/>
        </w:rPr>
        <w:t>流动负债：与会计准则中资产负债表的概念一致。</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 w:hAnsi="仿宋" w:eastAsia="仿宋" w:cs="仿宋"/>
          <w:spacing w:val="-2"/>
          <w:sz w:val="32"/>
          <w:szCs w:val="32"/>
        </w:rPr>
      </w:pPr>
      <w:r>
        <w:rPr>
          <w:rFonts w:hint="eastAsia" w:ascii="仿宋" w:hAnsi="仿宋" w:eastAsia="仿宋" w:cs="仿宋"/>
          <w:spacing w:val="-2"/>
          <w:sz w:val="32"/>
          <w:szCs w:val="32"/>
        </w:rPr>
        <w:t>应付外方股利：与会计准则中资产负债表的概念一致。</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 w:hAnsi="仿宋" w:eastAsia="仿宋" w:cs="仿宋"/>
          <w:spacing w:val="-2"/>
          <w:sz w:val="32"/>
          <w:szCs w:val="32"/>
        </w:rPr>
      </w:pPr>
      <w:r>
        <w:rPr>
          <w:rFonts w:hint="eastAsia" w:ascii="仿宋" w:hAnsi="仿宋" w:eastAsia="仿宋" w:cs="仿宋"/>
          <w:spacing w:val="-2"/>
          <w:sz w:val="32"/>
          <w:szCs w:val="32"/>
        </w:rPr>
        <w:t>其他应付款：与会计准则中资产负债表的概念一致。</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 w:hAnsi="仿宋" w:eastAsia="仿宋" w:cs="仿宋"/>
          <w:spacing w:val="-2"/>
          <w:sz w:val="32"/>
          <w:szCs w:val="32"/>
        </w:rPr>
      </w:pPr>
      <w:r>
        <w:rPr>
          <w:rFonts w:hint="eastAsia" w:ascii="仿宋" w:hAnsi="仿宋" w:eastAsia="仿宋" w:cs="仿宋"/>
          <w:spacing w:val="-2"/>
          <w:sz w:val="32"/>
          <w:szCs w:val="32"/>
        </w:rPr>
        <w:t>非流动负债：与会计准则中资产负债表的概念一致。</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 w:hAnsi="仿宋" w:eastAsia="仿宋" w:cs="仿宋"/>
          <w:spacing w:val="-2"/>
          <w:sz w:val="32"/>
          <w:szCs w:val="32"/>
        </w:rPr>
      </w:pPr>
      <w:r>
        <w:rPr>
          <w:rFonts w:hint="eastAsia" w:ascii="仿宋" w:hAnsi="仿宋" w:eastAsia="仿宋" w:cs="仿宋"/>
          <w:spacing w:val="-2"/>
          <w:sz w:val="32"/>
          <w:szCs w:val="32"/>
        </w:rPr>
        <w:t>所有者权益合计：与会计准则中资产负债表的概念一致。</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 w:hAnsi="仿宋" w:eastAsia="仿宋" w:cs="仿宋"/>
          <w:spacing w:val="-2"/>
          <w:sz w:val="32"/>
          <w:szCs w:val="32"/>
        </w:rPr>
      </w:pPr>
      <w:r>
        <w:rPr>
          <w:rFonts w:hint="eastAsia" w:ascii="仿宋" w:hAnsi="仿宋" w:eastAsia="仿宋" w:cs="仿宋"/>
          <w:spacing w:val="-2"/>
          <w:sz w:val="32"/>
          <w:szCs w:val="32"/>
        </w:rPr>
        <w:t>所有者权益合计-实收资本：与会计准则中资产负债表的概念一致。</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 w:hAnsi="仿宋" w:eastAsia="仿宋" w:cs="仿宋"/>
          <w:spacing w:val="-2"/>
          <w:sz w:val="32"/>
          <w:szCs w:val="32"/>
        </w:rPr>
      </w:pPr>
      <w:r>
        <w:rPr>
          <w:rFonts w:hint="eastAsia" w:ascii="仿宋" w:hAnsi="仿宋" w:eastAsia="仿宋" w:cs="仿宋"/>
          <w:spacing w:val="-2"/>
          <w:sz w:val="32"/>
          <w:szCs w:val="32"/>
        </w:rPr>
        <w:t>所有者权益合计-资本公积：与会计准则中资产负债表的概念一致。</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 w:hAnsi="仿宋" w:eastAsia="仿宋" w:cs="仿宋"/>
          <w:spacing w:val="-2"/>
          <w:sz w:val="32"/>
          <w:szCs w:val="32"/>
        </w:rPr>
      </w:pPr>
      <w:r>
        <w:rPr>
          <w:rFonts w:hint="eastAsia" w:ascii="仿宋" w:hAnsi="仿宋" w:eastAsia="仿宋" w:cs="仿宋"/>
          <w:spacing w:val="-2"/>
          <w:sz w:val="32"/>
          <w:szCs w:val="32"/>
        </w:rPr>
        <w:t>所有者权益合计-盈余公积：与会计准则中资产负债表的概念一致。</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 w:hAnsi="仿宋" w:eastAsia="仿宋" w:cs="仿宋"/>
          <w:spacing w:val="-2"/>
          <w:sz w:val="32"/>
          <w:szCs w:val="32"/>
        </w:rPr>
      </w:pPr>
      <w:r>
        <w:rPr>
          <w:rFonts w:hint="eastAsia" w:ascii="仿宋" w:hAnsi="仿宋" w:eastAsia="仿宋" w:cs="仿宋"/>
          <w:spacing w:val="-2"/>
          <w:sz w:val="32"/>
          <w:szCs w:val="32"/>
        </w:rPr>
        <w:t>所有者权益合计-未分配利润：与会计准则中资产负债表的概念一致。</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 w:hAnsi="仿宋" w:eastAsia="仿宋" w:cs="仿宋"/>
          <w:spacing w:val="-2"/>
          <w:sz w:val="32"/>
          <w:szCs w:val="32"/>
        </w:rPr>
      </w:pPr>
      <w:r>
        <w:rPr>
          <w:rFonts w:hint="eastAsia" w:ascii="仿宋" w:hAnsi="仿宋" w:eastAsia="仿宋" w:cs="仿宋"/>
          <w:spacing w:val="-2"/>
          <w:sz w:val="32"/>
          <w:szCs w:val="32"/>
        </w:rPr>
        <w:t>所有者权益合计-其他：与会计准则中资产负债表的概念一致。</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 w:hAnsi="仿宋" w:eastAsia="仿宋" w:cs="仿宋"/>
          <w:spacing w:val="-2"/>
          <w:sz w:val="32"/>
          <w:szCs w:val="32"/>
        </w:rPr>
      </w:pPr>
      <w:r>
        <w:rPr>
          <w:rFonts w:hint="eastAsia" w:ascii="仿宋" w:hAnsi="仿宋" w:eastAsia="仿宋" w:cs="仿宋"/>
          <w:spacing w:val="-2"/>
          <w:sz w:val="32"/>
          <w:szCs w:val="32"/>
        </w:rPr>
        <w:t>所有者权益合计-归属于外方股东的权益：按外方股东的持股比例或约定比例（符合法律法规的规定）乘以所有者权益计算所得。</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 w:hAnsi="仿宋" w:eastAsia="仿宋" w:cs="仿宋"/>
          <w:spacing w:val="-2"/>
          <w:sz w:val="32"/>
          <w:szCs w:val="32"/>
        </w:rPr>
      </w:pPr>
      <w:r>
        <w:rPr>
          <w:rFonts w:hint="eastAsia" w:ascii="仿宋" w:hAnsi="仿宋" w:eastAsia="仿宋" w:cs="仿宋"/>
          <w:spacing w:val="-2"/>
          <w:sz w:val="32"/>
          <w:szCs w:val="32"/>
        </w:rPr>
        <w:t>所有者权益合计-归属于外方股东的权益-实收资本：按外方股东的持股比例或约定比例（符合法律法规的规定）乘以实收资本计算所得。</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 w:hAnsi="仿宋" w:eastAsia="仿宋" w:cs="仿宋"/>
          <w:spacing w:val="-2"/>
          <w:sz w:val="32"/>
          <w:szCs w:val="32"/>
        </w:rPr>
      </w:pPr>
      <w:r>
        <w:rPr>
          <w:rFonts w:hint="eastAsia" w:ascii="仿宋" w:hAnsi="仿宋" w:eastAsia="仿宋" w:cs="仿宋"/>
          <w:spacing w:val="-2"/>
          <w:sz w:val="32"/>
          <w:szCs w:val="32"/>
        </w:rPr>
        <w:t>所有者权益合计-归属于外方股东的权益-资本公积：按外方股东的持股比例或约定比例（符合法律法规的规定）乘以资本公积计算所得。</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 w:hAnsi="仿宋" w:eastAsia="仿宋" w:cs="仿宋"/>
          <w:spacing w:val="-2"/>
          <w:sz w:val="32"/>
          <w:szCs w:val="32"/>
        </w:rPr>
      </w:pPr>
      <w:r>
        <w:rPr>
          <w:rFonts w:hint="eastAsia" w:ascii="仿宋" w:hAnsi="仿宋" w:eastAsia="仿宋" w:cs="仿宋"/>
          <w:spacing w:val="-2"/>
          <w:sz w:val="32"/>
          <w:szCs w:val="32"/>
        </w:rPr>
        <w:t>所有者权益合计-归属于外方股东的权益-盈余公积：按外方股东的持股比例或约定比例（符合法律法规的规定）乘以盈余公积计算所得。</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 w:hAnsi="仿宋" w:eastAsia="仿宋" w:cs="仿宋"/>
          <w:spacing w:val="-2"/>
          <w:sz w:val="32"/>
          <w:szCs w:val="32"/>
        </w:rPr>
      </w:pPr>
      <w:r>
        <w:rPr>
          <w:rFonts w:hint="eastAsia" w:ascii="仿宋" w:hAnsi="仿宋" w:eastAsia="仿宋" w:cs="仿宋"/>
          <w:spacing w:val="-2"/>
          <w:sz w:val="32"/>
          <w:szCs w:val="32"/>
        </w:rPr>
        <w:t>所有者权益合计-归属于外方股东的权益-未分配利润：外方股东的持股比例或约定比例（符合法律法规的规定）乘以未分配利润计算所得。</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 w:hAnsi="仿宋" w:eastAsia="仿宋" w:cs="仿宋"/>
          <w:spacing w:val="-2"/>
          <w:sz w:val="32"/>
          <w:szCs w:val="32"/>
        </w:rPr>
      </w:pPr>
      <w:r>
        <w:rPr>
          <w:rFonts w:hint="eastAsia" w:ascii="仿宋" w:hAnsi="仿宋" w:eastAsia="仿宋" w:cs="仿宋"/>
          <w:spacing w:val="-2"/>
          <w:sz w:val="32"/>
          <w:szCs w:val="32"/>
        </w:rPr>
        <w:t>所有者权益合计-归属于外方股东的权益-其他：按外方股东的持股比例或约定比例（符合法律法规的规定）乘以所有者权益中其他计算所得。</w:t>
      </w:r>
    </w:p>
    <w:p>
      <w:pPr>
        <w:keepNext w:val="0"/>
        <w:keepLines w:val="0"/>
        <w:pageBreakBefore w:val="0"/>
        <w:widowControl w:val="0"/>
        <w:kinsoku/>
        <w:wordWrap/>
        <w:overflowPunct/>
        <w:topLinePunct w:val="0"/>
        <w:autoSpaceDE/>
        <w:autoSpaceDN/>
        <w:bidi w:val="0"/>
        <w:adjustRightInd/>
        <w:snapToGrid/>
        <w:spacing w:line="560" w:lineRule="exact"/>
        <w:ind w:firstLine="635" w:firstLineChars="200"/>
        <w:textAlignment w:val="auto"/>
        <w:rPr>
          <w:rFonts w:hint="eastAsia" w:ascii="仿宋" w:hAnsi="仿宋" w:eastAsia="仿宋" w:cs="仿宋"/>
          <w:spacing w:val="-2"/>
          <w:sz w:val="32"/>
          <w:szCs w:val="32"/>
        </w:rPr>
      </w:pPr>
      <w:r>
        <w:rPr>
          <w:rFonts w:hint="eastAsia" w:ascii="仿宋" w:hAnsi="仿宋" w:eastAsia="仿宋" w:cs="仿宋"/>
          <w:b/>
          <w:bCs/>
          <w:spacing w:val="-2"/>
          <w:sz w:val="32"/>
          <w:szCs w:val="32"/>
        </w:rPr>
        <w:t>19</w:t>
      </w:r>
      <w:r>
        <w:rPr>
          <w:rFonts w:hint="eastAsia" w:ascii="仿宋" w:hAnsi="仿宋" w:eastAsia="仿宋" w:cs="仿宋"/>
          <w:spacing w:val="-2"/>
          <w:sz w:val="32"/>
          <w:szCs w:val="32"/>
        </w:rPr>
        <w:t>、债券、债务情况</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 w:hAnsi="仿宋" w:eastAsia="仿宋" w:cs="仿宋"/>
          <w:spacing w:val="-2"/>
          <w:sz w:val="32"/>
          <w:szCs w:val="32"/>
        </w:rPr>
      </w:pPr>
      <w:r>
        <w:rPr>
          <w:rFonts w:hint="eastAsia" w:ascii="仿宋" w:hAnsi="仿宋" w:eastAsia="仿宋" w:cs="仿宋"/>
          <w:spacing w:val="-2"/>
          <w:sz w:val="32"/>
          <w:szCs w:val="32"/>
        </w:rPr>
        <w:t>填写外商投资企业债券、债务情况数据，然后点击“保存”。</w:t>
      </w:r>
    </w:p>
    <w:p>
      <w:pPr>
        <w:keepNext w:val="0"/>
        <w:keepLines w:val="0"/>
        <w:pageBreakBefore w:val="0"/>
        <w:widowControl w:val="0"/>
        <w:kinsoku/>
        <w:wordWrap/>
        <w:overflowPunct/>
        <w:topLinePunct w:val="0"/>
        <w:autoSpaceDE/>
        <w:autoSpaceDN/>
        <w:bidi w:val="0"/>
        <w:adjustRightInd/>
        <w:snapToGrid/>
        <w:spacing w:line="560" w:lineRule="exact"/>
        <w:ind w:firstLine="635" w:firstLineChars="200"/>
        <w:textAlignment w:val="auto"/>
        <w:rPr>
          <w:rFonts w:hint="eastAsia" w:ascii="仿宋" w:hAnsi="仿宋" w:eastAsia="仿宋" w:cs="仿宋"/>
          <w:spacing w:val="-2"/>
          <w:sz w:val="32"/>
          <w:szCs w:val="32"/>
        </w:rPr>
      </w:pPr>
      <w:r>
        <w:rPr>
          <w:rFonts w:hint="eastAsia" w:ascii="仿宋" w:hAnsi="仿宋" w:eastAsia="仿宋" w:cs="仿宋"/>
          <w:b/>
          <w:bCs/>
          <w:spacing w:val="-2"/>
          <w:sz w:val="32"/>
          <w:szCs w:val="32"/>
        </w:rPr>
        <w:t>20</w:t>
      </w:r>
      <w:r>
        <w:rPr>
          <w:rFonts w:hint="eastAsia" w:ascii="仿宋" w:hAnsi="仿宋" w:eastAsia="仿宋" w:cs="仿宋"/>
          <w:spacing w:val="-2"/>
          <w:sz w:val="32"/>
          <w:szCs w:val="32"/>
        </w:rPr>
        <w:t>、进口设备减免税情况</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 w:hAnsi="仿宋" w:eastAsia="仿宋" w:cs="仿宋"/>
          <w:spacing w:val="-2"/>
          <w:sz w:val="32"/>
          <w:szCs w:val="32"/>
        </w:rPr>
      </w:pPr>
      <w:r>
        <w:rPr>
          <w:rFonts w:hint="eastAsia" w:ascii="仿宋" w:hAnsi="仿宋" w:eastAsia="仿宋" w:cs="仿宋"/>
          <w:spacing w:val="-2"/>
          <w:sz w:val="32"/>
          <w:szCs w:val="32"/>
        </w:rPr>
        <w:t>填写进口设备减免税的情况，然后点击“保存”。</w:t>
      </w:r>
    </w:p>
    <w:p>
      <w:pPr>
        <w:keepNext w:val="0"/>
        <w:keepLines w:val="0"/>
        <w:pageBreakBefore w:val="0"/>
        <w:widowControl w:val="0"/>
        <w:kinsoku/>
        <w:wordWrap/>
        <w:overflowPunct/>
        <w:topLinePunct w:val="0"/>
        <w:autoSpaceDE/>
        <w:autoSpaceDN/>
        <w:bidi w:val="0"/>
        <w:adjustRightInd/>
        <w:snapToGrid/>
        <w:spacing w:line="560" w:lineRule="exact"/>
        <w:ind w:firstLine="635" w:firstLineChars="200"/>
        <w:textAlignment w:val="auto"/>
        <w:rPr>
          <w:rFonts w:hint="eastAsia" w:ascii="仿宋" w:hAnsi="仿宋" w:eastAsia="仿宋" w:cs="仿宋"/>
          <w:spacing w:val="-2"/>
          <w:sz w:val="32"/>
          <w:szCs w:val="32"/>
        </w:rPr>
      </w:pPr>
      <w:r>
        <w:rPr>
          <w:rFonts w:hint="eastAsia" w:ascii="仿宋" w:hAnsi="仿宋" w:eastAsia="仿宋" w:cs="仿宋"/>
          <w:b/>
          <w:bCs/>
          <w:spacing w:val="-2"/>
          <w:sz w:val="32"/>
          <w:szCs w:val="32"/>
        </w:rPr>
        <w:t>21</w:t>
      </w:r>
      <w:r>
        <w:rPr>
          <w:rFonts w:hint="eastAsia" w:ascii="仿宋" w:hAnsi="仿宋" w:eastAsia="仿宋" w:cs="仿宋"/>
          <w:spacing w:val="-2"/>
          <w:sz w:val="32"/>
          <w:szCs w:val="32"/>
        </w:rPr>
        <w:t>、资产负债情况</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 w:hAnsi="仿宋" w:eastAsia="仿宋" w:cs="仿宋"/>
          <w:spacing w:val="-2"/>
          <w:sz w:val="32"/>
          <w:szCs w:val="32"/>
        </w:rPr>
      </w:pPr>
      <w:r>
        <w:rPr>
          <w:rFonts w:hint="eastAsia" w:ascii="仿宋" w:hAnsi="仿宋" w:eastAsia="仿宋" w:cs="仿宋"/>
          <w:spacing w:val="-2"/>
          <w:sz w:val="32"/>
          <w:szCs w:val="32"/>
        </w:rPr>
        <w:t>填写资产负债情况，然后点击“保存”。</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 w:hAnsi="仿宋" w:eastAsia="仿宋" w:cs="仿宋"/>
          <w:color w:val="0C0C0C" w:themeColor="text1" w:themeTint="F2"/>
          <w:spacing w:val="-2"/>
          <w:sz w:val="32"/>
          <w:szCs w:val="32"/>
        </w:rPr>
      </w:pPr>
      <w:r>
        <w:rPr>
          <w:rFonts w:hint="eastAsia" w:ascii="仿宋" w:hAnsi="仿宋" w:eastAsia="仿宋" w:cs="仿宋"/>
          <w:color w:val="0C0C0C" w:themeColor="text1" w:themeTint="F2"/>
          <w:spacing w:val="-2"/>
          <w:sz w:val="32"/>
          <w:szCs w:val="32"/>
        </w:rPr>
        <w:t>★★★大型企业还需要填报以下信息项。★★★</w:t>
      </w:r>
    </w:p>
    <w:p>
      <w:pPr>
        <w:pStyle w:val="13"/>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 w:hAnsi="仿宋" w:eastAsia="仿宋" w:cs="仿宋"/>
          <w:color w:val="0C0C0C" w:themeColor="text1" w:themeTint="F2"/>
          <w:sz w:val="32"/>
          <w:szCs w:val="32"/>
        </w:rPr>
      </w:pPr>
      <w:r>
        <w:rPr>
          <w:rFonts w:hint="eastAsia" w:ascii="仿宋" w:hAnsi="仿宋" w:eastAsia="仿宋" w:cs="仿宋"/>
          <w:color w:val="0C0C0C" w:themeColor="text1" w:themeTint="F2"/>
          <w:spacing w:val="-2"/>
          <w:sz w:val="32"/>
          <w:szCs w:val="32"/>
        </w:rPr>
        <w:t>22、</w:t>
      </w:r>
      <w:r>
        <w:rPr>
          <w:rFonts w:hint="eastAsia" w:ascii="仿宋" w:hAnsi="仿宋" w:eastAsia="仿宋" w:cs="仿宋"/>
          <w:color w:val="0C0C0C" w:themeColor="text1" w:themeTint="F2"/>
          <w:sz w:val="32"/>
          <w:szCs w:val="32"/>
        </w:rPr>
        <w:t>窗体顶端</w:t>
      </w:r>
    </w:p>
    <w:p>
      <w:pPr>
        <w:keepNext w:val="0"/>
        <w:keepLines w:val="0"/>
        <w:pageBreakBefore w:val="0"/>
        <w:widowControl w:val="0"/>
        <w:kinsoku/>
        <w:wordWrap/>
        <w:overflowPunct/>
        <w:topLinePunct w:val="0"/>
        <w:autoSpaceDE/>
        <w:autoSpaceDN/>
        <w:bidi w:val="0"/>
        <w:adjustRightInd/>
        <w:snapToGrid/>
        <w:spacing w:line="560" w:lineRule="exact"/>
        <w:ind w:firstLine="635" w:firstLineChars="200"/>
        <w:textAlignment w:val="auto"/>
        <w:rPr>
          <w:rFonts w:hint="eastAsia" w:ascii="仿宋" w:hAnsi="仿宋" w:eastAsia="仿宋" w:cs="仿宋"/>
          <w:color w:val="0C0C0C" w:themeColor="text1" w:themeTint="F2"/>
          <w:spacing w:val="-2"/>
          <w:sz w:val="32"/>
          <w:szCs w:val="32"/>
        </w:rPr>
      </w:pPr>
      <w:r>
        <w:rPr>
          <w:rFonts w:hint="eastAsia" w:ascii="仿宋" w:hAnsi="仿宋" w:eastAsia="仿宋" w:cs="仿宋"/>
          <w:b/>
          <w:bCs/>
          <w:color w:val="0C0C0C" w:themeColor="text1" w:themeTint="F2"/>
          <w:spacing w:val="-2"/>
          <w:sz w:val="32"/>
          <w:szCs w:val="32"/>
        </w:rPr>
        <w:t>22</w:t>
      </w:r>
      <w:r>
        <w:rPr>
          <w:rFonts w:hint="eastAsia" w:ascii="仿宋" w:hAnsi="仿宋" w:eastAsia="仿宋" w:cs="仿宋"/>
          <w:color w:val="0C0C0C" w:themeColor="text1" w:themeTint="F2"/>
          <w:spacing w:val="-2"/>
          <w:sz w:val="32"/>
          <w:szCs w:val="32"/>
        </w:rPr>
        <w:t xml:space="preserve">、逾期尚未支付合同情况 </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 w:hAnsi="仿宋" w:eastAsia="仿宋" w:cs="仿宋"/>
          <w:color w:val="0C0C0C" w:themeColor="text1" w:themeTint="F2"/>
          <w:spacing w:val="-2"/>
          <w:sz w:val="32"/>
          <w:szCs w:val="32"/>
        </w:rPr>
      </w:pPr>
      <w:r>
        <w:rPr>
          <w:rFonts w:hint="eastAsia" w:ascii="仿宋" w:hAnsi="仿宋" w:eastAsia="仿宋" w:cs="仿宋"/>
          <w:color w:val="0C0C0C" w:themeColor="text1" w:themeTint="F2"/>
          <w:spacing w:val="-2"/>
          <w:sz w:val="32"/>
          <w:szCs w:val="32"/>
        </w:rPr>
        <w:t>填写逾期尚未支付合同情况，然后点击“保存”。</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 w:hAnsi="仿宋" w:eastAsia="仿宋" w:cs="仿宋"/>
          <w:color w:val="0C0C0C" w:themeColor="text1" w:themeTint="F2"/>
          <w:spacing w:val="-2"/>
          <w:sz w:val="32"/>
          <w:szCs w:val="32"/>
        </w:rPr>
      </w:pPr>
      <w:r>
        <w:rPr>
          <w:rFonts w:hint="eastAsia" w:ascii="仿宋" w:hAnsi="仿宋" w:eastAsia="仿宋" w:cs="仿宋"/>
          <w:color w:val="0C0C0C" w:themeColor="text1" w:themeTint="F2"/>
          <w:spacing w:val="-2"/>
          <w:sz w:val="32"/>
          <w:szCs w:val="32"/>
        </w:rPr>
        <w:t>填写说明：</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 w:hAnsi="仿宋" w:eastAsia="仿宋" w:cs="仿宋"/>
          <w:color w:val="0C0C0C" w:themeColor="text1" w:themeTint="F2"/>
          <w:spacing w:val="-2"/>
          <w:sz w:val="32"/>
          <w:szCs w:val="32"/>
        </w:rPr>
      </w:pPr>
      <w:r>
        <w:rPr>
          <w:rFonts w:hint="eastAsia" w:ascii="仿宋" w:hAnsi="仿宋" w:eastAsia="仿宋" w:cs="仿宋"/>
          <w:color w:val="0C0C0C" w:themeColor="text1" w:themeTint="F2"/>
          <w:spacing w:val="-2"/>
          <w:sz w:val="32"/>
          <w:szCs w:val="32"/>
        </w:rPr>
        <w:t>a.是否存在《保障中小企业款项支付条例》（国务院令第728号）规定的逾期尚未支付中小企业款项的情形：</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 w:hAnsi="仿宋" w:eastAsia="仿宋" w:cs="仿宋"/>
          <w:color w:val="0C0C0C" w:themeColor="text1" w:themeTint="F2"/>
          <w:spacing w:val="-2"/>
          <w:sz w:val="32"/>
          <w:szCs w:val="32"/>
        </w:rPr>
      </w:pPr>
      <w:r>
        <w:rPr>
          <w:rFonts w:hint="eastAsia" w:ascii="仿宋" w:hAnsi="仿宋" w:eastAsia="仿宋" w:cs="仿宋"/>
          <w:color w:val="0C0C0C" w:themeColor="text1" w:themeTint="F2"/>
          <w:spacing w:val="-2"/>
          <w:sz w:val="32"/>
          <w:szCs w:val="32"/>
        </w:rPr>
        <w:t>①从中小企业采购货物、工程、服务，未按照约定付款期限及时支付款项的；合同约定采取履行进度结算、定期结算等结算方式的，付款期限自双方确认结算金额之日起算，逾期尚未支付款项的。</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 w:hAnsi="仿宋" w:eastAsia="仿宋" w:cs="仿宋"/>
          <w:color w:val="0C0C0C" w:themeColor="text1" w:themeTint="F2"/>
          <w:spacing w:val="-2"/>
          <w:sz w:val="32"/>
          <w:szCs w:val="32"/>
        </w:rPr>
      </w:pPr>
      <w:r>
        <w:rPr>
          <w:rFonts w:hint="eastAsia" w:ascii="仿宋" w:hAnsi="仿宋" w:eastAsia="仿宋" w:cs="仿宋"/>
          <w:color w:val="0C0C0C" w:themeColor="text1" w:themeTint="F2"/>
          <w:spacing w:val="-2"/>
          <w:sz w:val="32"/>
          <w:szCs w:val="32"/>
        </w:rPr>
        <w:t>②与中小企业约定以货物、工程、服务交付后经检验或者验收合格作为支付中小企业款项条件的，付款期限自检验或者验收合格之日起算，逾期尚未支付款项的。</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 w:hAnsi="仿宋" w:eastAsia="仿宋" w:cs="仿宋"/>
          <w:color w:val="0C0C0C" w:themeColor="text1" w:themeTint="F2"/>
          <w:spacing w:val="-2"/>
          <w:sz w:val="32"/>
          <w:szCs w:val="32"/>
        </w:rPr>
      </w:pPr>
      <w:r>
        <w:rPr>
          <w:rFonts w:hint="eastAsia" w:ascii="仿宋" w:hAnsi="仿宋" w:eastAsia="仿宋" w:cs="仿宋"/>
          <w:color w:val="0C0C0C" w:themeColor="text1" w:themeTint="F2"/>
          <w:spacing w:val="-2"/>
          <w:sz w:val="32"/>
          <w:szCs w:val="32"/>
        </w:rPr>
        <w:t>拖延检验或者验收的，付款期限自约定的检验或者验收期限届满之日起算，逾期尚未支付款项的。</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 w:hAnsi="仿宋" w:eastAsia="仿宋" w:cs="仿宋"/>
          <w:color w:val="0C0C0C" w:themeColor="text1" w:themeTint="F2"/>
          <w:spacing w:val="-2"/>
          <w:sz w:val="32"/>
          <w:szCs w:val="32"/>
        </w:rPr>
      </w:pPr>
      <w:r>
        <w:rPr>
          <w:rFonts w:hint="eastAsia" w:ascii="仿宋" w:hAnsi="仿宋" w:eastAsia="仿宋" w:cs="仿宋"/>
          <w:color w:val="0C0C0C" w:themeColor="text1" w:themeTint="F2"/>
          <w:spacing w:val="-2"/>
          <w:sz w:val="32"/>
          <w:szCs w:val="32"/>
        </w:rPr>
        <w:t>③强制中小企业接受商业汇票等非现金支付方式，利用商业汇票等非现金支付方式变相延长付款期限的。</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 w:hAnsi="仿宋" w:eastAsia="仿宋" w:cs="仿宋"/>
          <w:color w:val="0C0C0C" w:themeColor="text1" w:themeTint="F2"/>
          <w:spacing w:val="-2"/>
          <w:sz w:val="32"/>
          <w:szCs w:val="32"/>
        </w:rPr>
      </w:pPr>
      <w:r>
        <w:rPr>
          <w:rFonts w:hint="eastAsia" w:ascii="仿宋" w:hAnsi="仿宋" w:eastAsia="仿宋" w:cs="仿宋"/>
          <w:color w:val="0C0C0C" w:themeColor="text1" w:themeTint="F2"/>
          <w:spacing w:val="-2"/>
          <w:sz w:val="32"/>
          <w:szCs w:val="32"/>
        </w:rPr>
        <w:t>④强制要求以审计机关的审计结果作为结算依据，逾期尚未支付款项的，但合同另有约定或者法律、行政法规另有规定的除外。</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 w:hAnsi="仿宋" w:eastAsia="仿宋" w:cs="仿宋"/>
          <w:color w:val="0C0C0C" w:themeColor="text1" w:themeTint="F2"/>
          <w:spacing w:val="-2"/>
          <w:sz w:val="32"/>
          <w:szCs w:val="32"/>
        </w:rPr>
      </w:pPr>
      <w:r>
        <w:rPr>
          <w:rFonts w:hint="eastAsia" w:ascii="仿宋" w:hAnsi="仿宋" w:eastAsia="仿宋" w:cs="仿宋"/>
          <w:color w:val="0C0C0C" w:themeColor="text1" w:themeTint="F2"/>
          <w:spacing w:val="-2"/>
          <w:sz w:val="32"/>
          <w:szCs w:val="32"/>
        </w:rPr>
        <w:t>⑤不按照合同约定，在保证期限届满后及时与中小企业对收取的保证金进行核实和结算的。</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 w:hAnsi="仿宋" w:eastAsia="仿宋" w:cs="仿宋"/>
          <w:color w:val="0C0C0C" w:themeColor="text1" w:themeTint="F2"/>
          <w:spacing w:val="-2"/>
          <w:sz w:val="32"/>
          <w:szCs w:val="32"/>
        </w:rPr>
      </w:pPr>
      <w:r>
        <w:rPr>
          <w:rFonts w:hint="eastAsia" w:ascii="仿宋" w:hAnsi="仿宋" w:eastAsia="仿宋" w:cs="仿宋"/>
          <w:color w:val="0C0C0C" w:themeColor="text1" w:themeTint="F2"/>
          <w:spacing w:val="-2"/>
          <w:sz w:val="32"/>
          <w:szCs w:val="32"/>
        </w:rPr>
        <w:t>b.逾期尚未支付中小企业款项的合同数量：存在以上情形的合同数量。</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 w:hAnsi="仿宋" w:eastAsia="仿宋" w:cs="仿宋"/>
          <w:color w:val="0C0C0C" w:themeColor="text1" w:themeTint="F2"/>
          <w:spacing w:val="-2"/>
          <w:sz w:val="32"/>
          <w:szCs w:val="32"/>
        </w:rPr>
      </w:pPr>
      <w:r>
        <w:rPr>
          <w:rFonts w:hint="eastAsia" w:ascii="仿宋" w:hAnsi="仿宋" w:eastAsia="仿宋" w:cs="仿宋"/>
          <w:color w:val="0C0C0C" w:themeColor="text1" w:themeTint="F2"/>
          <w:spacing w:val="-2"/>
          <w:sz w:val="32"/>
          <w:szCs w:val="32"/>
        </w:rPr>
        <w:t>c.逾期尚未支付中小企业款项的合同金额：存在以上情形的合同金额。</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sz w:val="32"/>
          <w:szCs w:val="32"/>
        </w:rPr>
        <w:t>第六步：</w:t>
      </w:r>
      <w:r>
        <w:rPr>
          <w:rFonts w:hint="eastAsia" w:ascii="仿宋" w:hAnsi="仿宋" w:eastAsia="仿宋" w:cs="仿宋"/>
          <w:sz w:val="32"/>
          <w:szCs w:val="32"/>
        </w:rPr>
        <w:t>预览并公示。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点击“预览并公示”页面，检查填报内容是否无误。</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sz w:val="32"/>
          <w:szCs w:val="32"/>
        </w:rPr>
        <w:t>第七步：</w:t>
      </w:r>
      <w:r>
        <w:rPr>
          <w:rFonts w:hint="eastAsia" w:ascii="仿宋" w:hAnsi="仿宋" w:eastAsia="仿宋" w:cs="仿宋"/>
          <w:sz w:val="32"/>
          <w:szCs w:val="32"/>
        </w:rPr>
        <w:t>提交并公示。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审核无误后点击“提交并公示”、“确定”，完成本年度年报公示；如未点击“提交并公示”，则所填写信息仅保存成功，未进行公示，年报未完成。报送成功后页面自动显示记录。</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sz w:val="32"/>
          <w:szCs w:val="32"/>
        </w:rPr>
      </w:pPr>
      <w:r>
        <w:rPr>
          <w:rFonts w:hint="eastAsia" w:ascii="仿宋" w:hAnsi="仿宋" w:eastAsia="仿宋" w:cs="仿宋"/>
          <w:b/>
          <w:sz w:val="32"/>
          <w:szCs w:val="32"/>
        </w:rPr>
        <w:t>第八步：</w:t>
      </w:r>
      <w:r>
        <w:rPr>
          <w:rFonts w:hint="eastAsia" w:ascii="仿宋" w:hAnsi="仿宋" w:eastAsia="仿宋" w:cs="仿宋"/>
          <w:sz w:val="32"/>
          <w:szCs w:val="32"/>
        </w:rPr>
        <w:t>结果查询。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因数据传输原因，请在上述步骤完成24小时之后登录</w:t>
      </w:r>
      <w:r>
        <w:rPr>
          <w:rFonts w:hint="eastAsia" w:ascii="仿宋" w:hAnsi="仿宋" w:eastAsia="仿宋" w:cs="仿宋"/>
          <w:spacing w:val="-4"/>
          <w:sz w:val="32"/>
          <w:szCs w:val="32"/>
        </w:rPr>
        <w:t>国家企业信用信息公示系统（湖南）查询结果。在</w:t>
      </w:r>
      <w:r>
        <w:rPr>
          <w:rFonts w:hint="eastAsia" w:ascii="仿宋" w:hAnsi="仿宋" w:eastAsia="仿宋" w:cs="仿宋"/>
          <w:sz w:val="32"/>
          <w:szCs w:val="32"/>
        </w:rPr>
        <w:t>首页查询框内输入企业名称、统一社会信用代码或注册号，点击查询结果所列出的企业名称，进入信用信息页面，在“企业年报”信息中可查询已报送信息，如无信息，则未完成年报。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二、注意事项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1、报送年报的企业、个体工商户和农民专业合作社应对其报送的年报内容的真实性、及时性负责。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2、企业发现其年报内容不准确的，可于202</w:t>
      </w:r>
      <w:r>
        <w:rPr>
          <w:rFonts w:hint="eastAsia" w:ascii="仿宋" w:hAnsi="仿宋" w:eastAsia="仿宋" w:cs="仿宋"/>
          <w:sz w:val="32"/>
          <w:szCs w:val="32"/>
          <w:lang w:val="en-US" w:eastAsia="zh-CN"/>
        </w:rPr>
        <w:t>4</w:t>
      </w:r>
      <w:r>
        <w:rPr>
          <w:rFonts w:hint="eastAsia" w:ascii="仿宋" w:hAnsi="仿宋" w:eastAsia="仿宋" w:cs="仿宋"/>
          <w:sz w:val="32"/>
          <w:szCs w:val="32"/>
        </w:rPr>
        <w:t>年6月30日前进入“编辑”页面进行更正（6月30日后更正功能关闭）。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三、问题咨询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企业在填报年报时如遇问题，请拨打登记机</w:t>
      </w:r>
      <w:bookmarkStart w:id="0" w:name="_GoBack"/>
      <w:bookmarkEnd w:id="0"/>
      <w:r>
        <w:rPr>
          <w:rFonts w:hint="eastAsia" w:ascii="仿宋" w:hAnsi="仿宋" w:eastAsia="仿宋" w:cs="仿宋"/>
          <w:sz w:val="32"/>
          <w:szCs w:val="32"/>
        </w:rPr>
        <w:t>关电话进行咨询。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攸县市场监督管理局：0731-24230084</w:t>
      </w:r>
    </w:p>
    <w:sectPr>
      <w:pgSz w:w="11906" w:h="16838"/>
      <w:pgMar w:top="1440" w:right="1274" w:bottom="1276"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283" w:usb1="180F0C10" w:usb2="00000012" w:usb3="00000000" w:csb0="00040001" w:csb1="00000000"/>
  </w:font>
  <w:font w:name="新宋体">
    <w:panose1 w:val="02010609030101010101"/>
    <w:charset w:val="86"/>
    <w:family w:val="auto"/>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 w:name="方正小标宋简体">
    <w:panose1 w:val="02010601030101010101"/>
    <w:charset w:val="86"/>
    <w:family w:val="auto"/>
    <w:pitch w:val="default"/>
    <w:sig w:usb0="00000283" w:usb1="180F0C10" w:usb2="00000012" w:usb3="00000000" w:csb0="00040001" w:csb1="00000000"/>
  </w:font>
  <w:font w:name="方正楷体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TlkOWYzZmNmMWQ2MTMyZDg5OWNmYWIyNWU2NzU0ZGUifQ=="/>
  </w:docVars>
  <w:rsids>
    <w:rsidRoot w:val="00463510"/>
    <w:rsid w:val="000126BF"/>
    <w:rsid w:val="00014616"/>
    <w:rsid w:val="0003019D"/>
    <w:rsid w:val="00035322"/>
    <w:rsid w:val="0004052A"/>
    <w:rsid w:val="00041491"/>
    <w:rsid w:val="0004268B"/>
    <w:rsid w:val="00044F2C"/>
    <w:rsid w:val="0004599B"/>
    <w:rsid w:val="000521A9"/>
    <w:rsid w:val="00055D15"/>
    <w:rsid w:val="00085B7B"/>
    <w:rsid w:val="00093805"/>
    <w:rsid w:val="0009396B"/>
    <w:rsid w:val="00095257"/>
    <w:rsid w:val="000954D1"/>
    <w:rsid w:val="00095DF0"/>
    <w:rsid w:val="00096644"/>
    <w:rsid w:val="000969A6"/>
    <w:rsid w:val="00097EE5"/>
    <w:rsid w:val="000A042E"/>
    <w:rsid w:val="000A6A91"/>
    <w:rsid w:val="000B0BD9"/>
    <w:rsid w:val="000B6FD4"/>
    <w:rsid w:val="000C1404"/>
    <w:rsid w:val="000C375C"/>
    <w:rsid w:val="000C4EF3"/>
    <w:rsid w:val="000C5464"/>
    <w:rsid w:val="000C69F6"/>
    <w:rsid w:val="000C7271"/>
    <w:rsid w:val="000D12FE"/>
    <w:rsid w:val="000D63C4"/>
    <w:rsid w:val="000E08B8"/>
    <w:rsid w:val="000E5F6B"/>
    <w:rsid w:val="000F1759"/>
    <w:rsid w:val="000F1C7C"/>
    <w:rsid w:val="000F3DF3"/>
    <w:rsid w:val="00105648"/>
    <w:rsid w:val="00106F84"/>
    <w:rsid w:val="00123179"/>
    <w:rsid w:val="00126744"/>
    <w:rsid w:val="00132851"/>
    <w:rsid w:val="0014236E"/>
    <w:rsid w:val="0015500B"/>
    <w:rsid w:val="00162106"/>
    <w:rsid w:val="00165AD3"/>
    <w:rsid w:val="00166859"/>
    <w:rsid w:val="001738BB"/>
    <w:rsid w:val="00183003"/>
    <w:rsid w:val="001870E7"/>
    <w:rsid w:val="001930E7"/>
    <w:rsid w:val="00194990"/>
    <w:rsid w:val="00194EA7"/>
    <w:rsid w:val="001A7281"/>
    <w:rsid w:val="001C77DB"/>
    <w:rsid w:val="001E5A68"/>
    <w:rsid w:val="001F0C64"/>
    <w:rsid w:val="001F2CA7"/>
    <w:rsid w:val="001F6827"/>
    <w:rsid w:val="00215392"/>
    <w:rsid w:val="00235B92"/>
    <w:rsid w:val="00236B41"/>
    <w:rsid w:val="0025197D"/>
    <w:rsid w:val="00264074"/>
    <w:rsid w:val="002711DF"/>
    <w:rsid w:val="00287771"/>
    <w:rsid w:val="00295275"/>
    <w:rsid w:val="002A1102"/>
    <w:rsid w:val="002C2447"/>
    <w:rsid w:val="002D3516"/>
    <w:rsid w:val="002D3E14"/>
    <w:rsid w:val="002D3F50"/>
    <w:rsid w:val="002D4616"/>
    <w:rsid w:val="002E1FEB"/>
    <w:rsid w:val="002F17F4"/>
    <w:rsid w:val="002F69F8"/>
    <w:rsid w:val="003037EE"/>
    <w:rsid w:val="003112BB"/>
    <w:rsid w:val="003160DC"/>
    <w:rsid w:val="00322EA7"/>
    <w:rsid w:val="00327396"/>
    <w:rsid w:val="003278A5"/>
    <w:rsid w:val="0033141D"/>
    <w:rsid w:val="00336DDB"/>
    <w:rsid w:val="00340A85"/>
    <w:rsid w:val="00343953"/>
    <w:rsid w:val="0034476B"/>
    <w:rsid w:val="0035003B"/>
    <w:rsid w:val="00354470"/>
    <w:rsid w:val="003760D8"/>
    <w:rsid w:val="00380233"/>
    <w:rsid w:val="00382B82"/>
    <w:rsid w:val="00391C0A"/>
    <w:rsid w:val="003931DA"/>
    <w:rsid w:val="003937F3"/>
    <w:rsid w:val="003B614C"/>
    <w:rsid w:val="003C70F9"/>
    <w:rsid w:val="003D0A64"/>
    <w:rsid w:val="003E397E"/>
    <w:rsid w:val="003E51CF"/>
    <w:rsid w:val="003E64C1"/>
    <w:rsid w:val="003F35A8"/>
    <w:rsid w:val="003F4C25"/>
    <w:rsid w:val="00400CAD"/>
    <w:rsid w:val="0040388B"/>
    <w:rsid w:val="0040437F"/>
    <w:rsid w:val="00404451"/>
    <w:rsid w:val="004111BF"/>
    <w:rsid w:val="0041617D"/>
    <w:rsid w:val="00420AA4"/>
    <w:rsid w:val="004239D8"/>
    <w:rsid w:val="004249F6"/>
    <w:rsid w:val="00427137"/>
    <w:rsid w:val="00433F33"/>
    <w:rsid w:val="00437050"/>
    <w:rsid w:val="00444D8C"/>
    <w:rsid w:val="004547D3"/>
    <w:rsid w:val="004557FA"/>
    <w:rsid w:val="00461AAE"/>
    <w:rsid w:val="00463510"/>
    <w:rsid w:val="004773A5"/>
    <w:rsid w:val="00477D17"/>
    <w:rsid w:val="0049210A"/>
    <w:rsid w:val="00493110"/>
    <w:rsid w:val="004A4FA3"/>
    <w:rsid w:val="004A6169"/>
    <w:rsid w:val="004A6D6C"/>
    <w:rsid w:val="004B4702"/>
    <w:rsid w:val="004C1EAA"/>
    <w:rsid w:val="004D4943"/>
    <w:rsid w:val="004E1FB9"/>
    <w:rsid w:val="004E3F5E"/>
    <w:rsid w:val="004E5DC6"/>
    <w:rsid w:val="004E68E4"/>
    <w:rsid w:val="00506A63"/>
    <w:rsid w:val="00511A57"/>
    <w:rsid w:val="005140F4"/>
    <w:rsid w:val="00516280"/>
    <w:rsid w:val="00520902"/>
    <w:rsid w:val="00527CC9"/>
    <w:rsid w:val="00542ED6"/>
    <w:rsid w:val="00547400"/>
    <w:rsid w:val="00556A56"/>
    <w:rsid w:val="00561DCC"/>
    <w:rsid w:val="00563047"/>
    <w:rsid w:val="00567018"/>
    <w:rsid w:val="00570E3E"/>
    <w:rsid w:val="00583283"/>
    <w:rsid w:val="00585D0D"/>
    <w:rsid w:val="00586939"/>
    <w:rsid w:val="0059517E"/>
    <w:rsid w:val="00596ADE"/>
    <w:rsid w:val="005A49EF"/>
    <w:rsid w:val="005A6A3D"/>
    <w:rsid w:val="005B6D07"/>
    <w:rsid w:val="005B77A2"/>
    <w:rsid w:val="005C3459"/>
    <w:rsid w:val="005F3EF5"/>
    <w:rsid w:val="005F5D27"/>
    <w:rsid w:val="006032BE"/>
    <w:rsid w:val="0060533D"/>
    <w:rsid w:val="00605D7F"/>
    <w:rsid w:val="006331E6"/>
    <w:rsid w:val="00647742"/>
    <w:rsid w:val="00657529"/>
    <w:rsid w:val="0065773C"/>
    <w:rsid w:val="00657930"/>
    <w:rsid w:val="006606B3"/>
    <w:rsid w:val="006662D9"/>
    <w:rsid w:val="00670493"/>
    <w:rsid w:val="00671B2C"/>
    <w:rsid w:val="00671C63"/>
    <w:rsid w:val="00676C0B"/>
    <w:rsid w:val="006869B6"/>
    <w:rsid w:val="00687906"/>
    <w:rsid w:val="00692640"/>
    <w:rsid w:val="00696FB8"/>
    <w:rsid w:val="006A4ECC"/>
    <w:rsid w:val="006B0918"/>
    <w:rsid w:val="006B23B5"/>
    <w:rsid w:val="006D19EB"/>
    <w:rsid w:val="006D5ED1"/>
    <w:rsid w:val="006E0A61"/>
    <w:rsid w:val="006F2659"/>
    <w:rsid w:val="0070139F"/>
    <w:rsid w:val="0070255D"/>
    <w:rsid w:val="00711301"/>
    <w:rsid w:val="00722F7F"/>
    <w:rsid w:val="00725A16"/>
    <w:rsid w:val="00742A15"/>
    <w:rsid w:val="00753A5E"/>
    <w:rsid w:val="00764262"/>
    <w:rsid w:val="007717A0"/>
    <w:rsid w:val="00780808"/>
    <w:rsid w:val="0079459F"/>
    <w:rsid w:val="007A2649"/>
    <w:rsid w:val="007A282C"/>
    <w:rsid w:val="007A331B"/>
    <w:rsid w:val="007A7E15"/>
    <w:rsid w:val="007B1BE5"/>
    <w:rsid w:val="007B5DCD"/>
    <w:rsid w:val="007B6BED"/>
    <w:rsid w:val="007C0D9C"/>
    <w:rsid w:val="007C0E8A"/>
    <w:rsid w:val="007C2314"/>
    <w:rsid w:val="007C296B"/>
    <w:rsid w:val="007D3247"/>
    <w:rsid w:val="007F5974"/>
    <w:rsid w:val="008007F8"/>
    <w:rsid w:val="00803442"/>
    <w:rsid w:val="008138A4"/>
    <w:rsid w:val="0081750E"/>
    <w:rsid w:val="008322BF"/>
    <w:rsid w:val="00834E05"/>
    <w:rsid w:val="008429F3"/>
    <w:rsid w:val="00843D07"/>
    <w:rsid w:val="0085222F"/>
    <w:rsid w:val="00865986"/>
    <w:rsid w:val="008668DC"/>
    <w:rsid w:val="00870FF0"/>
    <w:rsid w:val="00874404"/>
    <w:rsid w:val="008866D5"/>
    <w:rsid w:val="008A0383"/>
    <w:rsid w:val="008A2D2F"/>
    <w:rsid w:val="008B0AD2"/>
    <w:rsid w:val="008B0F1F"/>
    <w:rsid w:val="008C3006"/>
    <w:rsid w:val="008D1AD6"/>
    <w:rsid w:val="008D3DF6"/>
    <w:rsid w:val="008D53C2"/>
    <w:rsid w:val="008E6E29"/>
    <w:rsid w:val="008F1FD0"/>
    <w:rsid w:val="008F6BE5"/>
    <w:rsid w:val="009050AA"/>
    <w:rsid w:val="00911742"/>
    <w:rsid w:val="009146CE"/>
    <w:rsid w:val="00916580"/>
    <w:rsid w:val="00917F05"/>
    <w:rsid w:val="00930801"/>
    <w:rsid w:val="00935414"/>
    <w:rsid w:val="00936E25"/>
    <w:rsid w:val="00946720"/>
    <w:rsid w:val="00950C07"/>
    <w:rsid w:val="009841EF"/>
    <w:rsid w:val="00997ACF"/>
    <w:rsid w:val="00997BB5"/>
    <w:rsid w:val="009B07A5"/>
    <w:rsid w:val="009B2E91"/>
    <w:rsid w:val="009B4BAE"/>
    <w:rsid w:val="009B6A65"/>
    <w:rsid w:val="009B71F5"/>
    <w:rsid w:val="009D6F14"/>
    <w:rsid w:val="009E13C1"/>
    <w:rsid w:val="009E41DF"/>
    <w:rsid w:val="009E511D"/>
    <w:rsid w:val="009F57B8"/>
    <w:rsid w:val="009F60E2"/>
    <w:rsid w:val="00A03FBD"/>
    <w:rsid w:val="00A115DA"/>
    <w:rsid w:val="00A133B6"/>
    <w:rsid w:val="00A14E07"/>
    <w:rsid w:val="00A15A17"/>
    <w:rsid w:val="00A170F3"/>
    <w:rsid w:val="00A17A27"/>
    <w:rsid w:val="00A32CD2"/>
    <w:rsid w:val="00A351A5"/>
    <w:rsid w:val="00A37935"/>
    <w:rsid w:val="00A439D0"/>
    <w:rsid w:val="00A7060C"/>
    <w:rsid w:val="00A717E4"/>
    <w:rsid w:val="00A71878"/>
    <w:rsid w:val="00A739C5"/>
    <w:rsid w:val="00A7456A"/>
    <w:rsid w:val="00A766E3"/>
    <w:rsid w:val="00A81E09"/>
    <w:rsid w:val="00A84BCF"/>
    <w:rsid w:val="00A933CC"/>
    <w:rsid w:val="00A94055"/>
    <w:rsid w:val="00AA0476"/>
    <w:rsid w:val="00AA2906"/>
    <w:rsid w:val="00AA747F"/>
    <w:rsid w:val="00AB1B36"/>
    <w:rsid w:val="00AC0388"/>
    <w:rsid w:val="00AC0CC2"/>
    <w:rsid w:val="00AC6312"/>
    <w:rsid w:val="00AC6AC6"/>
    <w:rsid w:val="00AC7276"/>
    <w:rsid w:val="00AE1125"/>
    <w:rsid w:val="00AE1EFC"/>
    <w:rsid w:val="00AE5DBA"/>
    <w:rsid w:val="00AF1967"/>
    <w:rsid w:val="00B01384"/>
    <w:rsid w:val="00B2070D"/>
    <w:rsid w:val="00B31F23"/>
    <w:rsid w:val="00B33047"/>
    <w:rsid w:val="00B425A2"/>
    <w:rsid w:val="00B43F60"/>
    <w:rsid w:val="00B44BA9"/>
    <w:rsid w:val="00B45534"/>
    <w:rsid w:val="00B46BB2"/>
    <w:rsid w:val="00B767A4"/>
    <w:rsid w:val="00B76E4F"/>
    <w:rsid w:val="00BB00D2"/>
    <w:rsid w:val="00BB134C"/>
    <w:rsid w:val="00BB2491"/>
    <w:rsid w:val="00BC2721"/>
    <w:rsid w:val="00BC2B19"/>
    <w:rsid w:val="00BC7519"/>
    <w:rsid w:val="00BD2240"/>
    <w:rsid w:val="00BD28BB"/>
    <w:rsid w:val="00BD3281"/>
    <w:rsid w:val="00BD7EF3"/>
    <w:rsid w:val="00BF1F1A"/>
    <w:rsid w:val="00BF4098"/>
    <w:rsid w:val="00BF50ED"/>
    <w:rsid w:val="00BF5809"/>
    <w:rsid w:val="00BF7B08"/>
    <w:rsid w:val="00C125CA"/>
    <w:rsid w:val="00C2088B"/>
    <w:rsid w:val="00C24D52"/>
    <w:rsid w:val="00C339C7"/>
    <w:rsid w:val="00C37530"/>
    <w:rsid w:val="00C40F21"/>
    <w:rsid w:val="00C43C08"/>
    <w:rsid w:val="00C61C81"/>
    <w:rsid w:val="00C62816"/>
    <w:rsid w:val="00C63CB1"/>
    <w:rsid w:val="00C7500D"/>
    <w:rsid w:val="00C81BFE"/>
    <w:rsid w:val="00C82B8E"/>
    <w:rsid w:val="00C84E3A"/>
    <w:rsid w:val="00C86083"/>
    <w:rsid w:val="00C900D6"/>
    <w:rsid w:val="00C91BDA"/>
    <w:rsid w:val="00CA1FD8"/>
    <w:rsid w:val="00CA2A37"/>
    <w:rsid w:val="00CA2F0C"/>
    <w:rsid w:val="00CA6B41"/>
    <w:rsid w:val="00CB44FC"/>
    <w:rsid w:val="00CB6496"/>
    <w:rsid w:val="00CC38AD"/>
    <w:rsid w:val="00CC4A90"/>
    <w:rsid w:val="00CC4EEB"/>
    <w:rsid w:val="00CD0D4D"/>
    <w:rsid w:val="00CD31B5"/>
    <w:rsid w:val="00CE044A"/>
    <w:rsid w:val="00CE0CE0"/>
    <w:rsid w:val="00D04099"/>
    <w:rsid w:val="00D054FF"/>
    <w:rsid w:val="00D12A22"/>
    <w:rsid w:val="00D134A5"/>
    <w:rsid w:val="00D20BA5"/>
    <w:rsid w:val="00D41487"/>
    <w:rsid w:val="00D4174A"/>
    <w:rsid w:val="00D44E12"/>
    <w:rsid w:val="00D57A08"/>
    <w:rsid w:val="00D63E8E"/>
    <w:rsid w:val="00D652DA"/>
    <w:rsid w:val="00D74202"/>
    <w:rsid w:val="00D75198"/>
    <w:rsid w:val="00D77960"/>
    <w:rsid w:val="00D8090E"/>
    <w:rsid w:val="00D92F7A"/>
    <w:rsid w:val="00DA161B"/>
    <w:rsid w:val="00DA22DD"/>
    <w:rsid w:val="00DA6A22"/>
    <w:rsid w:val="00DA6BE1"/>
    <w:rsid w:val="00DB4748"/>
    <w:rsid w:val="00DB77C1"/>
    <w:rsid w:val="00DC573F"/>
    <w:rsid w:val="00DC641F"/>
    <w:rsid w:val="00DD1CEC"/>
    <w:rsid w:val="00DD1D53"/>
    <w:rsid w:val="00DD30A6"/>
    <w:rsid w:val="00DD6E1F"/>
    <w:rsid w:val="00DE329B"/>
    <w:rsid w:val="00DE3A48"/>
    <w:rsid w:val="00DF2663"/>
    <w:rsid w:val="00DF546B"/>
    <w:rsid w:val="00DF57FD"/>
    <w:rsid w:val="00DF7A22"/>
    <w:rsid w:val="00E052FB"/>
    <w:rsid w:val="00E05FF1"/>
    <w:rsid w:val="00E17B94"/>
    <w:rsid w:val="00E2206F"/>
    <w:rsid w:val="00E316F4"/>
    <w:rsid w:val="00E36708"/>
    <w:rsid w:val="00E407D4"/>
    <w:rsid w:val="00E40CF3"/>
    <w:rsid w:val="00E44F90"/>
    <w:rsid w:val="00E55649"/>
    <w:rsid w:val="00E639A2"/>
    <w:rsid w:val="00E63D42"/>
    <w:rsid w:val="00E86A4D"/>
    <w:rsid w:val="00E918A5"/>
    <w:rsid w:val="00E93C9C"/>
    <w:rsid w:val="00EC1282"/>
    <w:rsid w:val="00EC365E"/>
    <w:rsid w:val="00EC5A23"/>
    <w:rsid w:val="00EC6050"/>
    <w:rsid w:val="00EC7F01"/>
    <w:rsid w:val="00ED644F"/>
    <w:rsid w:val="00ED7241"/>
    <w:rsid w:val="00EE300C"/>
    <w:rsid w:val="00EF4C0E"/>
    <w:rsid w:val="00F0358F"/>
    <w:rsid w:val="00F17CC3"/>
    <w:rsid w:val="00F31D28"/>
    <w:rsid w:val="00F32653"/>
    <w:rsid w:val="00F32E19"/>
    <w:rsid w:val="00F36745"/>
    <w:rsid w:val="00F746B3"/>
    <w:rsid w:val="00F75155"/>
    <w:rsid w:val="00F9632C"/>
    <w:rsid w:val="00FA0788"/>
    <w:rsid w:val="00FA0D81"/>
    <w:rsid w:val="00FA475E"/>
    <w:rsid w:val="00FA7B2C"/>
    <w:rsid w:val="00FB4EB6"/>
    <w:rsid w:val="00FB4FF3"/>
    <w:rsid w:val="00FC4AA3"/>
    <w:rsid w:val="00FC625C"/>
    <w:rsid w:val="00FD131C"/>
    <w:rsid w:val="00FD5739"/>
    <w:rsid w:val="00FD69F4"/>
    <w:rsid w:val="00FE0A6B"/>
    <w:rsid w:val="00FE2723"/>
    <w:rsid w:val="00FE3055"/>
    <w:rsid w:val="00FE4CE7"/>
    <w:rsid w:val="00FE5085"/>
    <w:rsid w:val="00FE7F33"/>
    <w:rsid w:val="00FF1C29"/>
    <w:rsid w:val="00FF6BD1"/>
    <w:rsid w:val="0E4C1AB8"/>
    <w:rsid w:val="10E27038"/>
    <w:rsid w:val="13C8509F"/>
    <w:rsid w:val="196F4EFC"/>
    <w:rsid w:val="1DCD19F7"/>
    <w:rsid w:val="1E70574F"/>
    <w:rsid w:val="261603E2"/>
    <w:rsid w:val="292C7C55"/>
    <w:rsid w:val="2B6E1E8F"/>
    <w:rsid w:val="3EA937DF"/>
    <w:rsid w:val="40F73137"/>
    <w:rsid w:val="41B827F4"/>
    <w:rsid w:val="45BF46C0"/>
    <w:rsid w:val="4DE81EE1"/>
    <w:rsid w:val="59AE2032"/>
    <w:rsid w:val="61F6204C"/>
    <w:rsid w:val="6C7B2402"/>
    <w:rsid w:val="7A11256C"/>
    <w:rsid w:val="7FEB5371"/>
    <w:rsid w:val="AFFF2B0A"/>
    <w:rsid w:val="BEFEB4CB"/>
    <w:rsid w:val="FCC9023B"/>
    <w:rsid w:val="FFBDDF4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Hyperlink"/>
    <w:basedOn w:val="7"/>
    <w:autoRedefine/>
    <w:unhideWhenUsed/>
    <w:qFormat/>
    <w:uiPriority w:val="99"/>
    <w:rPr>
      <w:color w:val="0563C1" w:themeColor="hyperlink"/>
      <w:u w:val="single"/>
    </w:rPr>
  </w:style>
  <w:style w:type="character" w:customStyle="1" w:styleId="9">
    <w:name w:val="页眉 Char"/>
    <w:basedOn w:val="7"/>
    <w:link w:val="4"/>
    <w:autoRedefine/>
    <w:qFormat/>
    <w:uiPriority w:val="99"/>
    <w:rPr>
      <w:sz w:val="18"/>
      <w:szCs w:val="18"/>
    </w:rPr>
  </w:style>
  <w:style w:type="character" w:customStyle="1" w:styleId="10">
    <w:name w:val="页脚 Char"/>
    <w:basedOn w:val="7"/>
    <w:link w:val="3"/>
    <w:autoRedefine/>
    <w:qFormat/>
    <w:uiPriority w:val="99"/>
    <w:rPr>
      <w:sz w:val="18"/>
      <w:szCs w:val="18"/>
    </w:rPr>
  </w:style>
  <w:style w:type="paragraph" w:styleId="11">
    <w:name w:val="List Paragraph"/>
    <w:basedOn w:val="1"/>
    <w:qFormat/>
    <w:uiPriority w:val="34"/>
    <w:pPr>
      <w:ind w:firstLine="420" w:firstLineChars="200"/>
    </w:pPr>
  </w:style>
  <w:style w:type="character" w:customStyle="1" w:styleId="12">
    <w:name w:val="批注框文本 Char"/>
    <w:basedOn w:val="7"/>
    <w:link w:val="2"/>
    <w:semiHidden/>
    <w:qFormat/>
    <w:uiPriority w:val="99"/>
    <w:rPr>
      <w:sz w:val="18"/>
      <w:szCs w:val="18"/>
    </w:rPr>
  </w:style>
  <w:style w:type="paragraph" w:customStyle="1" w:styleId="13">
    <w:name w:val="_Style 12"/>
    <w:basedOn w:val="1"/>
    <w:next w:val="1"/>
    <w:qFormat/>
    <w:uiPriority w:val="0"/>
    <w:pPr>
      <w:pBdr>
        <w:bottom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8</Pages>
  <Words>965</Words>
  <Characters>5507</Characters>
  <Lines>45</Lines>
  <Paragraphs>12</Paragraphs>
  <TotalTime>10</TotalTime>
  <ScaleCrop>false</ScaleCrop>
  <LinksUpToDate>false</LinksUpToDate>
  <CharactersWithSpaces>6460</CharactersWithSpaces>
  <Application>WPS Office_12.1.0.16120_F1E327BC-269C-435d-A152-05C5408002CA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2023-01-04T02:32:00Z</dcterms:created>
  <dc:creator>admin</dc:creator>
  <cp:lastModifiedBy>Administrator</cp:lastModifiedBy>
  <cp:lastPrinted>2023-01-04T04:27:00Z</cp:lastPrinted>
  <dcterms:modified xsi:type="dcterms:W3CDTF">2024-01-16T06:54:18Z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5F0B3E1D5D6CD243D6AEB363B6F68F48</vt:lpwstr>
  </property>
</Properties>
</file>