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eastAsia="黑体" w:cs="Times New Roman"/>
          <w:b w:val="0"/>
          <w:bCs w:val="0"/>
          <w:color w:val="000000"/>
          <w:sz w:val="32"/>
          <w:szCs w:val="32"/>
          <w:lang w:val="en-US" w:eastAsia="zh-CN"/>
        </w:rPr>
      </w:pPr>
      <w:bookmarkStart w:id="0" w:name="_GoBack"/>
      <w:bookmarkEnd w:id="0"/>
      <w:r>
        <w:rPr>
          <w:rFonts w:hint="default" w:ascii="Times New Roman" w:hAnsi="Times New Roman" w:eastAsia="黑体" w:cs="Times New Roman"/>
          <w:b w:val="0"/>
          <w:bCs w:val="0"/>
          <w:color w:val="000000"/>
          <w:sz w:val="32"/>
          <w:szCs w:val="32"/>
          <w:lang w:val="en-US" w:eastAsia="zh-CN"/>
        </w:rPr>
        <w:t>附件3</w:t>
      </w:r>
    </w:p>
    <w:p>
      <w:pPr>
        <w:keepNext w:val="0"/>
        <w:keepLines w:val="0"/>
        <w:pageBreakBefore w:val="0"/>
        <w:numPr>
          <w:ilvl w:val="0"/>
          <w:numId w:val="0"/>
        </w:numPr>
        <w:kinsoku/>
        <w:wordWrap/>
        <w:overflowPunct/>
        <w:topLinePunct w:val="0"/>
        <w:autoSpaceDE/>
        <w:autoSpaceDN/>
        <w:bidi w:val="0"/>
        <w:spacing w:line="560" w:lineRule="exact"/>
        <w:rPr>
          <w:rFonts w:hint="default" w:ascii="Times New Roman" w:hAnsi="Times New Roman" w:eastAsia="仿宋_GB2312" w:cs="Times New Roman"/>
          <w:b/>
          <w:bCs/>
          <w:color w:val="000000"/>
          <w:sz w:val="32"/>
          <w:szCs w:val="32"/>
          <w:lang w:val="en-US" w:eastAsia="zh-CN"/>
        </w:rPr>
      </w:pPr>
    </w:p>
    <w:p>
      <w:pPr>
        <w:keepNext w:val="0"/>
        <w:keepLines w:val="0"/>
        <w:pageBreakBefore w:val="0"/>
        <w:kinsoku/>
        <w:wordWrap/>
        <w:overflowPunct/>
        <w:topLinePunct w:val="0"/>
        <w:autoSpaceDE/>
        <w:autoSpaceDN/>
        <w:bidi w:val="0"/>
        <w:spacing w:line="560" w:lineRule="exact"/>
        <w:contextualSpacing/>
        <w:jc w:val="center"/>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《株洲市公交运营服务质量考核</w:t>
      </w:r>
      <w:r>
        <w:rPr>
          <w:rFonts w:hint="default" w:ascii="Times New Roman" w:hAnsi="Times New Roman" w:eastAsia="方正小标宋简体" w:cs="Times New Roman"/>
          <w:bCs/>
          <w:color w:val="000000"/>
          <w:sz w:val="44"/>
          <w:szCs w:val="44"/>
          <w:lang w:eastAsia="zh-CN"/>
        </w:rPr>
        <w:t>细则</w:t>
      </w:r>
      <w:r>
        <w:rPr>
          <w:rFonts w:hint="default" w:ascii="Times New Roman" w:hAnsi="Times New Roman" w:eastAsia="方正小标宋简体" w:cs="Times New Roman"/>
          <w:bCs/>
          <w:color w:val="000000"/>
          <w:sz w:val="44"/>
          <w:szCs w:val="44"/>
        </w:rPr>
        <w:t>》</w:t>
      </w: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center"/>
        <w:rPr>
          <w:rFonts w:hint="default" w:ascii="Times New Roman" w:hAnsi="Times New Roman" w:eastAsia="黑体" w:cs="Times New Roman"/>
          <w:b/>
          <w:bCs/>
          <w:color w:val="000000"/>
          <w:kern w:val="2"/>
          <w:sz w:val="32"/>
          <w:szCs w:val="32"/>
          <w:shd w:val="clear" w:color="auto" w:fill="FFFFFF"/>
        </w:rPr>
      </w:pPr>
    </w:p>
    <w:p>
      <w:pPr>
        <w:pStyle w:val="3"/>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center"/>
        <w:rPr>
          <w:rFonts w:hint="default" w:ascii="Times New Roman" w:hAnsi="Times New Roman" w:eastAsia="黑体" w:cs="Times New Roman"/>
          <w:b w:val="0"/>
          <w:bCs w:val="0"/>
          <w:color w:val="000000"/>
          <w:kern w:val="2"/>
          <w:sz w:val="32"/>
          <w:szCs w:val="32"/>
          <w:shd w:val="clear" w:color="auto" w:fill="FFFFFF"/>
        </w:rPr>
      </w:pPr>
      <w:r>
        <w:rPr>
          <w:rFonts w:hint="default" w:ascii="Times New Roman" w:hAnsi="Times New Roman" w:eastAsia="黑体" w:cs="Times New Roman"/>
          <w:b w:val="0"/>
          <w:bCs w:val="0"/>
          <w:color w:val="000000"/>
          <w:kern w:val="2"/>
          <w:sz w:val="32"/>
          <w:szCs w:val="32"/>
          <w:shd w:val="clear" w:color="auto" w:fill="FFFFFF"/>
        </w:rPr>
        <w:t>第一章  总 则</w:t>
      </w:r>
    </w:p>
    <w:p>
      <w:pPr>
        <w:keepNext w:val="0"/>
        <w:keepLines w:val="0"/>
        <w:pageBreakBefore w:val="0"/>
        <w:kinsoku/>
        <w:wordWrap/>
        <w:overflowPunct/>
        <w:topLinePunct w:val="0"/>
        <w:autoSpaceDE/>
        <w:autoSpaceDN/>
        <w:bidi w:val="0"/>
        <w:spacing w:line="560" w:lineRule="exact"/>
        <w:ind w:firstLine="642" w:firstLineChars="200"/>
        <w:contextualSpacing/>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第一条</w:t>
      </w:r>
      <w:r>
        <w:rPr>
          <w:rFonts w:hint="default" w:ascii="Times New Roman" w:hAnsi="Times New Roman" w:eastAsia="仿宋_GB2312" w:cs="Times New Roman"/>
          <w:color w:val="000000"/>
          <w:sz w:val="32"/>
          <w:szCs w:val="32"/>
        </w:rPr>
        <w:t xml:space="preserve"> 为贯彻落实城市公交优先发展策略，加强公交企业监督管理，不断提高公交行业服务质量和服务水平，努力营造“安全可靠、方便周到、经济舒适”的乘车环境，更好地满足市民日常出行需求，根据《湖南省城市公共客运管理办法》、《关于落实优先发展战略进一步推动全省城市公共交通高质量发展的意见》（湘政办发〔2022〕63号)、</w:t>
      </w:r>
      <w:r>
        <w:rPr>
          <w:rFonts w:hint="default" w:ascii="Times New Roman" w:hAnsi="Times New Roman" w:eastAsia="仿宋_GB2312" w:cs="Times New Roman"/>
          <w:color w:val="000000"/>
          <w:spacing w:val="-2"/>
          <w:sz w:val="32"/>
          <w:szCs w:val="32"/>
        </w:rPr>
        <w:t>《关于</w:t>
      </w:r>
      <w:r>
        <w:rPr>
          <w:rFonts w:hint="default" w:ascii="Times New Roman" w:hAnsi="Times New Roman" w:eastAsia="仿宋_GB2312" w:cs="Times New Roman"/>
          <w:color w:val="000000"/>
          <w:sz w:val="32"/>
          <w:szCs w:val="32"/>
        </w:rPr>
        <w:t>落实优先发展战略进一步推动株洲城市公共交通高质量发展的实施意见》、《关于推进城市公共交通健康可持续发展的若干意见》（交运发〔2023〕144号）等规定，制定本</w:t>
      </w:r>
      <w:r>
        <w:rPr>
          <w:rFonts w:hint="default" w:ascii="Times New Roman" w:hAnsi="Times New Roman" w:eastAsia="仿宋_GB2312" w:cs="Times New Roman"/>
          <w:color w:val="000000"/>
          <w:sz w:val="32"/>
          <w:szCs w:val="32"/>
          <w:lang w:eastAsia="zh-CN"/>
        </w:rPr>
        <w:t>细则</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第二条</w:t>
      </w:r>
      <w:r>
        <w:rPr>
          <w:rFonts w:hint="default" w:ascii="Times New Roman" w:hAnsi="Times New Roman" w:eastAsia="仿宋_GB2312" w:cs="Times New Roman"/>
          <w:color w:val="000000"/>
          <w:sz w:val="32"/>
          <w:szCs w:val="32"/>
        </w:rPr>
        <w:t xml:space="preserve"> 本</w:t>
      </w:r>
      <w:r>
        <w:rPr>
          <w:rFonts w:hint="default" w:ascii="Times New Roman" w:hAnsi="Times New Roman" w:eastAsia="仿宋_GB2312" w:cs="Times New Roman"/>
          <w:color w:val="000000"/>
          <w:sz w:val="32"/>
          <w:szCs w:val="32"/>
          <w:lang w:eastAsia="zh-CN"/>
        </w:rPr>
        <w:t>细则</w:t>
      </w:r>
      <w:r>
        <w:rPr>
          <w:rFonts w:hint="default" w:ascii="Times New Roman" w:hAnsi="Times New Roman" w:eastAsia="仿宋_GB2312" w:cs="Times New Roman"/>
          <w:color w:val="000000"/>
          <w:sz w:val="32"/>
          <w:szCs w:val="32"/>
        </w:rPr>
        <w:t>适用于公交企业在市区（天元区、芦淞区、荷塘区、石峰区、渌口区）范围内公交运营服务质量的考核，</w:t>
      </w:r>
      <w:r>
        <w:rPr>
          <w:rFonts w:hint="default" w:ascii="Times New Roman" w:hAnsi="Times New Roman" w:eastAsia="仿宋_GB2312" w:cs="Times New Roman"/>
          <w:color w:val="000000"/>
          <w:sz w:val="32"/>
          <w:szCs w:val="32"/>
          <w:lang w:eastAsia="zh-CN"/>
        </w:rPr>
        <w:t>株洲市</w:t>
      </w:r>
      <w:r>
        <w:rPr>
          <w:rFonts w:hint="default" w:ascii="Times New Roman" w:hAnsi="Times New Roman" w:eastAsia="仿宋_GB2312" w:cs="Times New Roman"/>
          <w:color w:val="000000"/>
          <w:sz w:val="32"/>
          <w:szCs w:val="32"/>
        </w:rPr>
        <w:t>各县市可根据实际情况参考执行。</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第三条</w:t>
      </w:r>
      <w:r>
        <w:rPr>
          <w:rFonts w:hint="default" w:ascii="Times New Roman" w:hAnsi="Times New Roman" w:eastAsia="仿宋_GB2312" w:cs="Times New Roman"/>
          <w:color w:val="000000"/>
          <w:sz w:val="32"/>
          <w:szCs w:val="32"/>
        </w:rPr>
        <w:t xml:space="preserve"> 服务质量考核是指对公交企业执行行业管理目标任务、管理水平、经营行为、服务质量、安全生产和社会责任等内容的综合考评。</w:t>
      </w:r>
      <w:r>
        <w:rPr>
          <w:rFonts w:hint="default" w:ascii="Times New Roman" w:hAnsi="Times New Roman" w:eastAsia="仿宋_GB2312" w:cs="Times New Roman"/>
          <w:color w:val="000000"/>
          <w:kern w:val="0"/>
          <w:sz w:val="32"/>
          <w:szCs w:val="32"/>
        </w:rPr>
        <w:t>考核分为半年度调查和年度考核，</w:t>
      </w:r>
      <w:r>
        <w:rPr>
          <w:rFonts w:hint="default" w:ascii="Times New Roman" w:hAnsi="Times New Roman" w:eastAsia="仿宋_GB2312" w:cs="Times New Roman"/>
          <w:color w:val="000000"/>
          <w:sz w:val="32"/>
          <w:szCs w:val="32"/>
        </w:rPr>
        <w:t>考核结果</w:t>
      </w:r>
      <w:r>
        <w:rPr>
          <w:rFonts w:hint="default" w:ascii="Times New Roman" w:hAnsi="Times New Roman" w:eastAsia="仿宋_GB2312" w:cs="Times New Roman"/>
          <w:color w:val="000000"/>
          <w:kern w:val="0"/>
          <w:sz w:val="32"/>
          <w:szCs w:val="32"/>
        </w:rPr>
        <w:t>是核发公交企业政策性亏损补贴的主要依据。</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第四条</w:t>
      </w:r>
      <w:r>
        <w:rPr>
          <w:rFonts w:hint="default" w:ascii="Times New Roman" w:hAnsi="Times New Roman" w:eastAsia="仿宋_GB2312" w:cs="Times New Roman"/>
          <w:color w:val="000000"/>
          <w:sz w:val="32"/>
          <w:szCs w:val="32"/>
        </w:rPr>
        <w:t xml:space="preserve"> 考核工作应科学严谨，遵循公开、公平、公正的原则。</w:t>
      </w:r>
    </w:p>
    <w:p>
      <w:pPr>
        <w:keepNext w:val="0"/>
        <w:keepLines w:val="0"/>
        <w:pageBreakBefore w:val="0"/>
        <w:kinsoku/>
        <w:wordWrap/>
        <w:overflowPunct/>
        <w:topLinePunct w:val="0"/>
        <w:autoSpaceDE/>
        <w:autoSpaceDN/>
        <w:bidi w:val="0"/>
        <w:spacing w:line="560" w:lineRule="exact"/>
        <w:contextualSpacing/>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  考核职责</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第五条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公交</w:t>
      </w:r>
      <w:r>
        <w:rPr>
          <w:rFonts w:hint="default" w:ascii="Times New Roman" w:hAnsi="Times New Roman" w:eastAsia="仿宋_GB2312" w:cs="Times New Roman"/>
          <w:color w:val="000000"/>
          <w:sz w:val="32"/>
          <w:szCs w:val="32"/>
        </w:rPr>
        <w:t>运营服务质量考核由</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交通运输</w:t>
      </w:r>
      <w:r>
        <w:rPr>
          <w:rFonts w:hint="default" w:ascii="Times New Roman" w:hAnsi="Times New Roman" w:eastAsia="仿宋_GB2312" w:cs="Times New Roman"/>
          <w:color w:val="000000"/>
          <w:sz w:val="32"/>
          <w:szCs w:val="32"/>
          <w:lang w:eastAsia="zh-CN"/>
        </w:rPr>
        <w:t>主管部门</w:t>
      </w:r>
      <w:r>
        <w:rPr>
          <w:rFonts w:hint="default" w:ascii="Times New Roman" w:hAnsi="Times New Roman" w:eastAsia="仿宋_GB2312" w:cs="Times New Roman"/>
          <w:color w:val="000000"/>
          <w:sz w:val="32"/>
          <w:szCs w:val="32"/>
        </w:rPr>
        <w:t>牵头组织实施，负责组织领导市区公交企业服务质量考核工作，制定、修改、落实考核办法和相关政策。考核结果作为市国资委对公交企业绩效考核的采信库。</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第六条 </w:t>
      </w:r>
      <w:r>
        <w:rPr>
          <w:rFonts w:hint="default" w:ascii="Times New Roman" w:hAnsi="Times New Roman" w:eastAsia="仿宋_GB2312" w:cs="Times New Roman"/>
          <w:color w:val="000000"/>
          <w:sz w:val="32"/>
          <w:szCs w:val="32"/>
        </w:rPr>
        <w:t>市交通运输</w:t>
      </w:r>
      <w:r>
        <w:rPr>
          <w:rFonts w:hint="default" w:ascii="Times New Roman" w:hAnsi="Times New Roman" w:eastAsia="仿宋_GB2312" w:cs="Times New Roman"/>
          <w:color w:val="000000"/>
          <w:sz w:val="32"/>
          <w:szCs w:val="32"/>
          <w:lang w:eastAsia="zh-CN"/>
        </w:rPr>
        <w:t>主管部门</w:t>
      </w:r>
      <w:r>
        <w:rPr>
          <w:rFonts w:hint="default" w:ascii="Times New Roman" w:hAnsi="Times New Roman" w:eastAsia="仿宋_GB2312" w:cs="Times New Roman"/>
          <w:color w:val="000000"/>
          <w:sz w:val="32"/>
          <w:szCs w:val="32"/>
        </w:rPr>
        <w:t>负责本办法的具体实施。市、区交通运输主管部门所属的公交行业监督管理机构要加强与相关部门的信息沟通，及时、全面、准确掌握考核周期内公交企业运营服务情况，认真受理社会投诉举报，核实公交企业交通违法、行车事故情况，加强对经营者服务质量的日常监督检查。市交通运输</w:t>
      </w:r>
      <w:r>
        <w:rPr>
          <w:rFonts w:hint="default" w:ascii="Times New Roman" w:hAnsi="Times New Roman" w:eastAsia="仿宋_GB2312" w:cs="Times New Roman"/>
          <w:color w:val="000000"/>
          <w:sz w:val="32"/>
          <w:szCs w:val="32"/>
          <w:lang w:eastAsia="zh-CN"/>
        </w:rPr>
        <w:t>主管部门</w:t>
      </w:r>
      <w:r>
        <w:rPr>
          <w:rFonts w:hint="default" w:ascii="Times New Roman" w:hAnsi="Times New Roman" w:eastAsia="仿宋_GB2312" w:cs="Times New Roman"/>
          <w:color w:val="000000"/>
          <w:sz w:val="32"/>
          <w:szCs w:val="32"/>
        </w:rPr>
        <w:t>通过招标方式确定第三方中介机构，第三方测评费用列入市交通运输</w:t>
      </w:r>
      <w:r>
        <w:rPr>
          <w:rFonts w:hint="default" w:ascii="Times New Roman" w:hAnsi="Times New Roman" w:eastAsia="仿宋_GB2312" w:cs="Times New Roman"/>
          <w:color w:val="000000"/>
          <w:sz w:val="32"/>
          <w:szCs w:val="32"/>
          <w:lang w:eastAsia="zh-CN"/>
        </w:rPr>
        <w:t>主管部门</w:t>
      </w:r>
      <w:r>
        <w:rPr>
          <w:rFonts w:hint="default" w:ascii="Times New Roman" w:hAnsi="Times New Roman" w:eastAsia="仿宋_GB2312" w:cs="Times New Roman"/>
          <w:color w:val="000000"/>
          <w:sz w:val="32"/>
          <w:szCs w:val="32"/>
        </w:rPr>
        <w:t>预算，由市财政统筹保障。</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第七条</w:t>
      </w:r>
      <w:r>
        <w:rPr>
          <w:rFonts w:hint="default" w:ascii="Times New Roman" w:hAnsi="Times New Roman" w:eastAsia="仿宋_GB2312" w:cs="Times New Roman"/>
          <w:color w:val="000000"/>
          <w:sz w:val="32"/>
          <w:szCs w:val="32"/>
        </w:rPr>
        <w:t xml:space="preserve"> 第三方中介机构统一对市区公交企业运营服务质量、乘客满意度等指标进行测评，并进行独立评价。中介机构应当具备下列条件：</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(一)具有合法资质；</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(二)与委托单位和被考核对象均无利害关系，能够客观、公正地开展调查、测评工作；</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(三)熟悉公交行业，有从事社会调查的经验；</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(四)法律法规规定的其他要求。</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中介机构应当根据具体调查、统计情况，独立、客观、公正地形成测评结论。</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第八条 </w:t>
      </w:r>
      <w:r>
        <w:rPr>
          <w:rFonts w:hint="default" w:ascii="Times New Roman" w:hAnsi="Times New Roman" w:eastAsia="仿宋_GB2312" w:cs="Times New Roman"/>
          <w:color w:val="000000"/>
          <w:sz w:val="32"/>
          <w:szCs w:val="32"/>
        </w:rPr>
        <w:t>公交企业应当建立健全运营管理制度与运营服务规范，组织开展内部教育、培训、检查、考核；根据</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提出的整改意见、自行检查和社会反馈的情况，及时整改问题；配合管理部门考评和第三方中介机构测评工作，主动如实提交考评标准中涉及的运营服务、安全行车、车辆管理、投诉处理等台账资料，年度工作自查报告于次年一季度报送</w:t>
      </w:r>
      <w:r>
        <w:rPr>
          <w:rFonts w:hint="default" w:ascii="Times New Roman" w:hAnsi="Times New Roman" w:eastAsia="仿宋_GB2312" w:cs="Times New Roman"/>
          <w:color w:val="000000"/>
          <w:sz w:val="32"/>
          <w:szCs w:val="32"/>
          <w:lang w:eastAsia="zh-CN"/>
        </w:rPr>
        <w:t>考市交通运输主管部门</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spacing w:line="560" w:lineRule="exact"/>
        <w:contextualSpacing/>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  考核内容</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第九条 </w:t>
      </w:r>
      <w:r>
        <w:rPr>
          <w:rFonts w:hint="default" w:ascii="Times New Roman" w:hAnsi="Times New Roman" w:eastAsia="仿宋_GB2312" w:cs="Times New Roman"/>
          <w:color w:val="000000"/>
          <w:sz w:val="32"/>
          <w:szCs w:val="32"/>
        </w:rPr>
        <w:t>建立健全服务质量考核指标体系，与国家公交都市建设示范工程创建指标相吻合，综合评价公交企业的运营服务质量。指标体系分为以下六类：</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（一）反映公交企业运营车辆的指标（以下简称运营车辆类指标）</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（二）客观反映运营服务质量的指标（以下简称运营服务类指标 ）</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（三）反映公交车站设施完善度的指标（以下简称车站设施类指标）</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（四）反映社会公众满意度的指标（以下简称乘客满意度指标）</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（五）反映政府部门、新闻媒体、社会大众对公交服务评价的指标（以下简称政府通报、媒体反映与社会投诉类指标）</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（六）完成行业主管部门行业管理要求的指标（以下简称行业管理工作执行情况类指标）</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第十条 </w:t>
      </w:r>
      <w:r>
        <w:rPr>
          <w:rFonts w:hint="default" w:ascii="Times New Roman" w:hAnsi="Times New Roman" w:eastAsia="仿宋_GB2312" w:cs="Times New Roman"/>
          <w:color w:val="000000"/>
          <w:sz w:val="32"/>
          <w:szCs w:val="32"/>
        </w:rPr>
        <w:t>六类指标分别以百分制赋分，按权重折合后计总分，总分为100分。六类指标权重为：运营车辆类指标占20%、运营服务类指标占20%、车站设施类指标占15%、乘客满意度指标占15%、政府通报、媒体反映与社会投诉类指标占15%、行业管理工作执行情况类指标占15%。</w:t>
      </w:r>
    </w:p>
    <w:p>
      <w:pPr>
        <w:keepNext w:val="0"/>
        <w:keepLines w:val="0"/>
        <w:pageBreakBefore w:val="0"/>
        <w:kinsoku/>
        <w:wordWrap/>
        <w:overflowPunct/>
        <w:topLinePunct w:val="0"/>
        <w:autoSpaceDE/>
        <w:autoSpaceDN/>
        <w:bidi w:val="0"/>
        <w:spacing w:line="560" w:lineRule="exact"/>
        <w:contextualSpacing/>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  考核程序</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第十一条 </w:t>
      </w:r>
      <w:r>
        <w:rPr>
          <w:rFonts w:hint="default" w:ascii="Times New Roman" w:hAnsi="Times New Roman" w:eastAsia="仿宋_GB2312" w:cs="Times New Roman"/>
          <w:color w:val="000000"/>
          <w:sz w:val="32"/>
          <w:szCs w:val="32"/>
        </w:rPr>
        <w:t>考核周期为每年的1月1日至12月31日。考核分为</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调查、年度考核。上</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调查在7月完成，下</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调查和年度考核同时进行。</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调查主要完成运营车辆类指标、运营服务类指标、车站设施类指标等三项指标的数据调查与打分。</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年度考核完成乘客满意度指标、政府通报、媒体反映与社会投诉类指标、行业管理工作执行情况类指标的数据调查与打分，并结合其它三项指标的</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调查得分情况，计算年度考核总分。</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年度考核总分=两个</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运营车辆类指标考核平均得分×20%+两个</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运营服务类指标考核平均得分×20%+两个</w:t>
      </w:r>
      <w:r>
        <w:rPr>
          <w:rFonts w:hint="default" w:ascii="Times New Roman" w:hAnsi="Times New Roman" w:eastAsia="仿宋_GB2312" w:cs="Times New Roman"/>
          <w:color w:val="000000"/>
          <w:kern w:val="0"/>
          <w:sz w:val="32"/>
          <w:szCs w:val="32"/>
        </w:rPr>
        <w:t>半年度</w:t>
      </w:r>
      <w:r>
        <w:rPr>
          <w:rFonts w:hint="default" w:ascii="Times New Roman" w:hAnsi="Times New Roman" w:eastAsia="仿宋_GB2312" w:cs="Times New Roman"/>
          <w:color w:val="000000"/>
          <w:sz w:val="32"/>
          <w:szCs w:val="32"/>
        </w:rPr>
        <w:t>车站设施类指标考核平均得分×15%+年度乘客满意度指标考核得分×15%+年度政府通报、媒体反映与社会投诉类指标考核得分×15%+年度行业管理工作执行情况类指标考核得分×15%。</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第十二条 </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根据本考核办法及指标体系，于每年12月底前制定下一年度考核方案和相关考核指标，并在征求市公交</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意见后，于次年2月底前正式发布实施。考核周期内，因被考核单位改制重组，或因自然灾害、重大公共卫生事件、国家政策调整等不可抗力因素对考核数据产生重大影响的，</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可适当调整考核指标、考核标准。</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第十三条 </w:t>
      </w:r>
      <w:r>
        <w:rPr>
          <w:rFonts w:hint="default" w:ascii="Times New Roman" w:hAnsi="Times New Roman" w:eastAsia="仿宋_GB2312" w:cs="Times New Roman"/>
          <w:color w:val="000000"/>
          <w:sz w:val="32"/>
          <w:szCs w:val="32"/>
        </w:rPr>
        <w:t>年度考核方案确定后，</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应按规定程序委托第三方机构对运营车辆类指标、运营服务类指标、车站设施类指标、乘客满意度指标、政府通报、媒体反映与社会投诉考核类指标、行业管理工作执行情况类指标进行调查统计，第三方机构应独立、客观、公正地形成评价结论，并于考核年度的次年2月底前将评价结论提交</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第十四条 </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在形成年度考核报告后7个工作日内，向公交企业通报考核得分、扣分内容和整改意见。</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第十五条 </w:t>
      </w:r>
      <w:r>
        <w:rPr>
          <w:rFonts w:hint="default" w:ascii="Times New Roman" w:hAnsi="Times New Roman" w:eastAsia="仿宋_GB2312" w:cs="Times New Roman"/>
          <w:color w:val="000000"/>
          <w:sz w:val="32"/>
          <w:szCs w:val="32"/>
        </w:rPr>
        <w:t>公交企业对年度考核报告有异议的，可在收到考核报告之日起7个工作日内向</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反映，</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应对反映情况及时处理。</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第十六条 </w:t>
      </w:r>
      <w:r>
        <w:rPr>
          <w:rFonts w:hint="default" w:ascii="Times New Roman" w:hAnsi="Times New Roman" w:eastAsia="仿宋_GB2312" w:cs="Times New Roman"/>
          <w:color w:val="000000"/>
          <w:sz w:val="32"/>
          <w:szCs w:val="32"/>
        </w:rPr>
        <w:t>市交通运输</w:t>
      </w:r>
      <w:r>
        <w:rPr>
          <w:rFonts w:hint="default" w:ascii="Times New Roman" w:hAnsi="Times New Roman" w:eastAsia="仿宋_GB2312" w:cs="Times New Roman"/>
          <w:color w:val="000000"/>
          <w:sz w:val="32"/>
          <w:szCs w:val="32"/>
          <w:lang w:eastAsia="zh-CN"/>
        </w:rPr>
        <w:t>主管部门</w:t>
      </w:r>
      <w:r>
        <w:rPr>
          <w:rFonts w:hint="default" w:ascii="Times New Roman" w:hAnsi="Times New Roman" w:eastAsia="仿宋_GB2312" w:cs="Times New Roman"/>
          <w:color w:val="000000"/>
          <w:sz w:val="32"/>
          <w:szCs w:val="32"/>
        </w:rPr>
        <w:t>应将年度考核报告和复查意见</w:t>
      </w:r>
      <w:r>
        <w:rPr>
          <w:rFonts w:hint="default" w:ascii="Times New Roman" w:hAnsi="Times New Roman" w:eastAsia="仿宋_GB2312" w:cs="Times New Roman"/>
          <w:color w:val="000000"/>
          <w:sz w:val="32"/>
          <w:szCs w:val="32"/>
          <w:lang w:eastAsia="zh-CN"/>
        </w:rPr>
        <w:t>进行</w:t>
      </w:r>
      <w:r>
        <w:rPr>
          <w:rFonts w:hint="default" w:ascii="Times New Roman" w:hAnsi="Times New Roman" w:eastAsia="仿宋_GB2312" w:cs="Times New Roman"/>
          <w:color w:val="000000"/>
          <w:sz w:val="32"/>
          <w:szCs w:val="32"/>
        </w:rPr>
        <w:t>审核，最终确定公交企业年度考核结果，年度考核结果应在次年3月底前完成，由</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视情况予以通报或公布。</w:t>
      </w:r>
    </w:p>
    <w:p>
      <w:pPr>
        <w:keepNext w:val="0"/>
        <w:keepLines w:val="0"/>
        <w:pageBreakBefore w:val="0"/>
        <w:kinsoku/>
        <w:wordWrap/>
        <w:overflowPunct/>
        <w:topLinePunct w:val="0"/>
        <w:autoSpaceDE/>
        <w:autoSpaceDN/>
        <w:bidi w:val="0"/>
        <w:spacing w:line="560" w:lineRule="exact"/>
        <w:contextualSpacing/>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  考核奖惩</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第十七条 </w:t>
      </w:r>
      <w:r>
        <w:rPr>
          <w:rFonts w:hint="default" w:ascii="Times New Roman" w:hAnsi="Times New Roman" w:eastAsia="仿宋_GB2312" w:cs="Times New Roman"/>
          <w:color w:val="000000"/>
          <w:sz w:val="32"/>
          <w:szCs w:val="32"/>
        </w:rPr>
        <w:t>服务质量考核结果分为优秀、达标和不达标三个等次。总得分在90分（含）以上为优秀，80分（含）为达标，80分以下为不达标。</w:t>
      </w:r>
    </w:p>
    <w:p>
      <w:pPr>
        <w:pStyle w:val="7"/>
        <w:keepNext w:val="0"/>
        <w:keepLines w:val="0"/>
        <w:pageBreakBefore w:val="0"/>
        <w:kinsoku/>
        <w:wordWrap/>
        <w:overflowPunct/>
        <w:topLinePunct w:val="0"/>
        <w:autoSpaceDE/>
        <w:autoSpaceDN/>
        <w:bidi w:val="0"/>
        <w:spacing w:line="560" w:lineRule="exact"/>
        <w:ind w:firstLine="643"/>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color w:val="000000"/>
          <w:sz w:val="32"/>
          <w:szCs w:val="32"/>
        </w:rPr>
        <w:t>第十八条</w:t>
      </w:r>
      <w:r>
        <w:rPr>
          <w:rFonts w:hint="default" w:ascii="Times New Roman" w:hAnsi="Times New Roman" w:eastAsia="仿宋_GB2312" w:cs="Times New Roman"/>
          <w:color w:val="000000"/>
          <w:kern w:val="2"/>
          <w:sz w:val="32"/>
          <w:szCs w:val="32"/>
        </w:rPr>
        <w:t xml:space="preserve"> 考核结果</w:t>
      </w:r>
      <w:r>
        <w:rPr>
          <w:rFonts w:hint="default" w:ascii="Times New Roman" w:hAnsi="Times New Roman" w:eastAsia="仿宋_GB2312" w:cs="Times New Roman"/>
          <w:color w:val="000000"/>
          <w:sz w:val="32"/>
          <w:szCs w:val="32"/>
        </w:rPr>
        <w:t>为优秀</w:t>
      </w:r>
      <w:r>
        <w:rPr>
          <w:rFonts w:hint="default" w:ascii="Times New Roman" w:hAnsi="Times New Roman" w:eastAsia="仿宋_GB2312" w:cs="Times New Roman"/>
          <w:color w:val="000000"/>
          <w:kern w:val="2"/>
          <w:sz w:val="32"/>
          <w:szCs w:val="32"/>
        </w:rPr>
        <w:t>的，按照当年公交市级财政补贴的1%奖励 ;</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考核结果为达标的，不奖不惩；</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考核结果为不达标的，扣减当年公交市级财政补贴的1%。</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第十九条 </w:t>
      </w:r>
      <w:r>
        <w:rPr>
          <w:rFonts w:hint="default" w:ascii="Times New Roman" w:hAnsi="Times New Roman" w:eastAsia="仿宋_GB2312" w:cs="Times New Roman"/>
          <w:b w:val="0"/>
          <w:bCs/>
          <w:color w:val="000000"/>
          <w:sz w:val="32"/>
          <w:szCs w:val="32"/>
          <w:lang w:eastAsia="zh-CN"/>
        </w:rPr>
        <w:t>公交企业</w:t>
      </w:r>
      <w:r>
        <w:rPr>
          <w:rFonts w:hint="default" w:ascii="Times New Roman" w:hAnsi="Times New Roman" w:eastAsia="仿宋_GB2312" w:cs="Times New Roman"/>
          <w:color w:val="000000"/>
          <w:sz w:val="32"/>
          <w:szCs w:val="32"/>
        </w:rPr>
        <w:t>有下列情形之一的，当年服务质量考核等级直接评为不达标：</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1.考核周期内发生一次死亡3人（含）以上行车责任事故或行车责任事故（均指同责及以上）累计死亡人数突破年度控制指标的；</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2由于企业管理原因，导致发生严重影响市民出行、行业形象和社会秩序的重大群体事件（包括擅自停运、罢运等）的；</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3.企业在考核过程中弄虚作假或在日常管理中妨碍管理部门执法检查的；</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第二十条 </w:t>
      </w:r>
      <w:r>
        <w:rPr>
          <w:rFonts w:hint="default" w:ascii="Times New Roman" w:hAnsi="Times New Roman" w:eastAsia="仿宋_GB2312" w:cs="Times New Roman"/>
          <w:color w:val="000000"/>
          <w:sz w:val="32"/>
          <w:szCs w:val="32"/>
        </w:rPr>
        <w:t>公交</w:t>
      </w:r>
      <w:r>
        <w:rPr>
          <w:rFonts w:hint="default" w:ascii="Times New Roman" w:hAnsi="Times New Roman" w:eastAsia="仿宋_GB2312" w:cs="Times New Roman"/>
          <w:color w:val="000000"/>
          <w:sz w:val="32"/>
          <w:szCs w:val="32"/>
          <w:lang w:eastAsia="zh-CN"/>
        </w:rPr>
        <w:t>企业</w:t>
      </w:r>
      <w:r>
        <w:rPr>
          <w:rFonts w:hint="default" w:ascii="Times New Roman" w:hAnsi="Times New Roman" w:eastAsia="仿宋_GB2312" w:cs="Times New Roman"/>
          <w:color w:val="000000"/>
          <w:sz w:val="32"/>
          <w:szCs w:val="32"/>
        </w:rPr>
        <w:t>应当针对考核中被扣分的项目提出具体整改措施，并及时将整改措施和整改结果报</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。考核结果为不合格的，不得参加各类先进评比，并责令为期3个月的整改，整改情况及时报送</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spacing w:line="560" w:lineRule="exact"/>
        <w:contextualSpacing/>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第六章   责任追究</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第二十一条 </w:t>
      </w:r>
      <w:r>
        <w:rPr>
          <w:rFonts w:hint="default" w:ascii="Times New Roman" w:hAnsi="Times New Roman" w:eastAsia="仿宋_GB2312" w:cs="Times New Roman"/>
          <w:color w:val="000000"/>
          <w:sz w:val="32"/>
          <w:szCs w:val="32"/>
        </w:rPr>
        <w:t>考核工作人员在考核工作中如有利用职权谋取利益、侵犯经营者合法权益的，由所在单位按照人事管理权限依纪依规处理，涉嫌犯罪的，依法移送司法机关处理。</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第二十二条 </w:t>
      </w:r>
      <w:r>
        <w:rPr>
          <w:rFonts w:hint="default" w:ascii="Times New Roman" w:hAnsi="Times New Roman" w:eastAsia="仿宋_GB2312" w:cs="Times New Roman"/>
          <w:color w:val="000000"/>
          <w:sz w:val="32"/>
          <w:szCs w:val="32"/>
        </w:rPr>
        <w:t>第三方中介机构在考核调查过程中弄虚作假、敲诈勒索的，考核调查结果视为无效（其行为与经营者无关的，由</w:t>
      </w:r>
      <w:r>
        <w:rPr>
          <w:rFonts w:hint="default" w:ascii="Times New Roman" w:hAnsi="Times New Roman" w:eastAsia="仿宋_GB2312" w:cs="Times New Roman"/>
          <w:color w:val="000000"/>
          <w:sz w:val="32"/>
          <w:szCs w:val="32"/>
          <w:lang w:eastAsia="zh-CN"/>
        </w:rPr>
        <w:t>市交通运输主管部门</w:t>
      </w:r>
      <w:r>
        <w:rPr>
          <w:rFonts w:hint="default" w:ascii="Times New Roman" w:hAnsi="Times New Roman" w:eastAsia="仿宋_GB2312" w:cs="Times New Roman"/>
          <w:color w:val="000000"/>
          <w:sz w:val="32"/>
          <w:szCs w:val="32"/>
        </w:rPr>
        <w:t>决定参照当年或上年考核平均分评定)；有关单位应当解除委托合同，并根据合同和相关规定追究中介机构法律责任。</w:t>
      </w:r>
    </w:p>
    <w:p>
      <w:pPr>
        <w:keepNext w:val="0"/>
        <w:keepLines w:val="0"/>
        <w:pageBreakBefore w:val="0"/>
        <w:kinsoku/>
        <w:wordWrap/>
        <w:overflowPunct/>
        <w:topLinePunct w:val="0"/>
        <w:autoSpaceDE/>
        <w:autoSpaceDN/>
        <w:bidi w:val="0"/>
        <w:spacing w:line="560" w:lineRule="exact"/>
        <w:ind w:firstLine="642"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 xml:space="preserve">第二十三条 </w:t>
      </w:r>
      <w:r>
        <w:rPr>
          <w:rFonts w:hint="default" w:ascii="Times New Roman" w:hAnsi="Times New Roman" w:eastAsia="仿宋_GB2312" w:cs="Times New Roman"/>
          <w:color w:val="000000"/>
          <w:sz w:val="32"/>
          <w:szCs w:val="32"/>
        </w:rPr>
        <w:t>公交企业在考核过程中伪造事实、刻意隐瞒或者与中介机构串通，考核结果视为不合格；</w:t>
      </w:r>
    </w:p>
    <w:p>
      <w:pPr>
        <w:keepNext w:val="0"/>
        <w:keepLines w:val="0"/>
        <w:pageBreakBefore w:val="0"/>
        <w:kinsoku/>
        <w:wordWrap/>
        <w:overflowPunct/>
        <w:topLinePunct w:val="0"/>
        <w:autoSpaceDE/>
        <w:autoSpaceDN/>
        <w:bidi w:val="0"/>
        <w:spacing w:line="560" w:lineRule="exact"/>
        <w:ind w:firstLine="640" w:firstLineChars="200"/>
        <w:contextualSpacing/>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有关情节触犯相关法律法规的，移交相关部门依法查处。</w:t>
      </w:r>
    </w:p>
    <w:p>
      <w:pPr>
        <w:keepNext w:val="0"/>
        <w:keepLines w:val="0"/>
        <w:pageBreakBefore w:val="0"/>
        <w:kinsoku/>
        <w:topLinePunct w:val="0"/>
        <w:autoSpaceDE/>
        <w:autoSpaceDN/>
        <w:bidi w:val="0"/>
        <w:spacing w:beforeAutospacing="0" w:afterAutospacing="0" w:line="560" w:lineRule="exact"/>
        <w:jc w:val="center"/>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2"/>
          <w:szCs w:val="32"/>
        </w:rPr>
        <w:br w:type="page"/>
      </w:r>
      <w:r>
        <w:rPr>
          <w:rFonts w:hint="default" w:ascii="Times New Roman" w:hAnsi="Times New Roman" w:eastAsia="黑体" w:cs="Times New Roman"/>
          <w:b w:val="0"/>
          <w:bCs w:val="0"/>
          <w:color w:val="000000"/>
          <w:sz w:val="24"/>
          <w:szCs w:val="24"/>
          <w:lang w:eastAsia="zh-CN"/>
        </w:rPr>
        <w:t>附表</w:t>
      </w:r>
      <w:r>
        <w:rPr>
          <w:rFonts w:hint="default" w:ascii="Times New Roman" w:hAnsi="Times New Roman" w:eastAsia="黑体" w:cs="Times New Roman"/>
          <w:b w:val="0"/>
          <w:bCs w:val="0"/>
          <w:color w:val="000000"/>
          <w:sz w:val="24"/>
          <w:szCs w:val="24"/>
          <w:lang w:val="en-US" w:eastAsia="zh-CN"/>
        </w:rPr>
        <w:t>1—</w:t>
      </w:r>
      <w:r>
        <w:rPr>
          <w:rFonts w:hint="default" w:ascii="Times New Roman" w:hAnsi="Times New Roman" w:eastAsia="黑体" w:cs="Times New Roman"/>
          <w:b w:val="0"/>
          <w:bCs w:val="0"/>
          <w:color w:val="000000"/>
          <w:sz w:val="24"/>
          <w:szCs w:val="24"/>
        </w:rPr>
        <w:t>株洲市公交成本规制</w:t>
      </w:r>
      <w:r>
        <w:rPr>
          <w:rFonts w:hint="default" w:ascii="Times New Roman" w:hAnsi="Times New Roman" w:eastAsia="黑体" w:cs="Times New Roman"/>
          <w:b w:val="0"/>
          <w:bCs w:val="0"/>
          <w:color w:val="000000"/>
          <w:sz w:val="24"/>
          <w:szCs w:val="24"/>
          <w:lang w:eastAsia="zh-CN"/>
        </w:rPr>
        <w:t>运营指标推荐</w:t>
      </w:r>
      <w:r>
        <w:rPr>
          <w:rFonts w:hint="default" w:ascii="Times New Roman" w:hAnsi="Times New Roman" w:eastAsia="黑体" w:cs="Times New Roman"/>
          <w:b w:val="0"/>
          <w:bCs w:val="0"/>
          <w:color w:val="000000"/>
          <w:sz w:val="24"/>
          <w:szCs w:val="24"/>
        </w:rPr>
        <w:t>标准值</w:t>
      </w:r>
    </w:p>
    <w:tbl>
      <w:tblPr>
        <w:tblStyle w:val="4"/>
        <w:tblW w:w="5311" w:type="pct"/>
        <w:tblCellSpacing w:w="0" w:type="dxa"/>
        <w:tblInd w:w="-131"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454"/>
        <w:gridCol w:w="1119"/>
        <w:gridCol w:w="515"/>
        <w:gridCol w:w="974"/>
        <w:gridCol w:w="1076"/>
        <w:gridCol w:w="1386"/>
        <w:gridCol w:w="3940"/>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5"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序号</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指标</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计量单位</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纵向</w:t>
            </w:r>
            <w:r>
              <w:rPr>
                <w:rFonts w:hint="default" w:ascii="Times New Roman" w:hAnsi="Times New Roman" w:cs="Times New Roman"/>
                <w:b/>
                <w:bCs/>
                <w:color w:val="000000"/>
                <w:sz w:val="16"/>
                <w:szCs w:val="16"/>
                <w:lang w:eastAsia="zh-CN"/>
              </w:rPr>
              <w:t>历史</w:t>
            </w:r>
            <w:r>
              <w:rPr>
                <w:rFonts w:hint="default" w:ascii="Times New Roman" w:hAnsi="Times New Roman" w:eastAsia="宋体" w:cs="Times New Roman"/>
                <w:b/>
                <w:bCs/>
                <w:color w:val="000000"/>
                <w:sz w:val="16"/>
                <w:szCs w:val="16"/>
              </w:rPr>
              <w:t>取值(实际值)</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lang w:eastAsia="zh-CN"/>
              </w:rPr>
              <w:t>同行业及国标</w:t>
            </w:r>
            <w:r>
              <w:rPr>
                <w:rFonts w:hint="default" w:ascii="Times New Roman" w:hAnsi="Times New Roman" w:eastAsia="宋体" w:cs="Times New Roman"/>
                <w:b/>
                <w:bCs/>
                <w:color w:val="000000"/>
                <w:sz w:val="16"/>
                <w:szCs w:val="16"/>
              </w:rPr>
              <w:t>取值（还原值）</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b/>
                <w:bCs/>
                <w:color w:val="000000"/>
                <w:sz w:val="16"/>
                <w:szCs w:val="16"/>
              </w:rPr>
            </w:pPr>
            <w:r>
              <w:rPr>
                <w:rFonts w:hint="default" w:ascii="Times New Roman" w:hAnsi="Times New Roman" w:cs="Times New Roman"/>
                <w:b/>
                <w:bCs/>
                <w:color w:val="000000"/>
                <w:sz w:val="16"/>
                <w:szCs w:val="16"/>
                <w:lang w:eastAsia="zh-CN"/>
              </w:rPr>
              <w:t>推荐</w:t>
            </w:r>
            <w:r>
              <w:rPr>
                <w:rFonts w:hint="default" w:ascii="Times New Roman" w:hAnsi="Times New Roman" w:eastAsia="宋体" w:cs="Times New Roman"/>
                <w:b/>
                <w:bCs/>
                <w:color w:val="000000"/>
                <w:sz w:val="16"/>
                <w:szCs w:val="16"/>
              </w:rPr>
              <w:t>标准值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（落实控本增效）</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77"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营运车辆标台数</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标台</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1583</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1583</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1583</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采用纵向对比数据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营运车辆台数</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台</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1271</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1271</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1271</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采用纵向对比数据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9"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主营业务年均职工总数</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2078</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3491</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2158</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驾驶员+现状其他职工</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1"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年均驾驶员总数</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1450</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2126</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1575</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按每个标准班103km计算，在4900万公里运营里程下，按照驾驶员年均302个标准班（每周单休、每年11天法定节假日)计算</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年营运里程</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万公里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5411.66</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5411.66</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4900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2023年计划运营里程为4500万公里，与疫情期间平均值持平，建议2024年计划运营里程设置为4900万km，此后以每年进行增长，用3年时间将运营里程恢复至疫情前水平</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总人数人车比</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1.64</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2.75</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1.70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其中：驾驶员人车比</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1.14</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1.67</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1.24</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工资增长率</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5.82%</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5.82%</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以上一年度城镇非私营企业在岗职工平均工资增长率进行增长</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7"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人均工资水平</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人</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74607.27</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109288.79</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82107.49</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以上一年度公交公司实际工资水平为基准，以上一年度城镇非私营企业在岗职工平均工资增长率进行增长，为逐步缩小与城镇非私企业平均工资差距，额外设置4%的调控系数，用6年时间提升至城镇非私企业平均工资水平</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人均社会保障费用</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人</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22551.60</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47212.76</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按实际工资基数和国家规定比例缴纳</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按照职工工资及国家规定缴纳比例，据实缴纳</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4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企业年金</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4.00%</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取最低缴费标准，企业负担4%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职工福利费等三项费用计提比例</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4.84%</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5.63%</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4.84%</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采用纵向对比数据进行预拨付，年终根据国家标准比例据实核定（职工福利费不超过14%，工会经费不超过2%，职工教育经费不超过2.5%）</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13</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万人标台数</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标台</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万人</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11.37</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12.00</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11.37</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在当前经济背景下，不宜提出过高的目标要求，采用株洲实际数据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百公里油耗</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升</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27.11</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27.11</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27.11</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特异性指标，与车型构成有关，采用株洲实际数据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百公里电耗</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度</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76.00</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76.00</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76.00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特异性指标，与车型构成有关，采用株洲实际数据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16</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百公里维修材料费</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14.15</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14.15</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14.15</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采用纵向对比数据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17</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百公里轮胎消耗费</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7.77</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7.77</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7.77</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采用纵向对比数据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9"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18</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台均保险费</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元/台</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6193.70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仅购买交强险、100万三责、承运人险</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19</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百公里事故净支出</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4.45</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4.45</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4.45</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采用横向对比数据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7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安全生产费</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0.82%</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1.50%</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根据财政部安全监管总局关于印发《企业安全生产费用提取和使用管理办法》的通知</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百公里运营业务费</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24.71</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24.71</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24.71</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特异性指标，因城市而异，采用实际成本法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百公里管理费用</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12.39</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12.39</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12.39</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特异性指标，因城市而异，采用实际成本法，取株洲2017-2019年平均值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47"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23</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千公里票款收入</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元/千公里</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2601.37</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2601.37</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2500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考虑《关于优化生育政策促进人口长期均衡发展的工作方案》当中，14岁以下儿童凭有效证件免费乘坐公交、城轨等市内公共交通工具优惠政策，以及退伍军人免票等优惠政策造成的票款收入减少，在纵向对比基础上适当降低千公里票款收入。</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94"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常规公交票款收入</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140777395.28</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140777395.28</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122500000.00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5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常规公交总成本</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391175458.25</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732347835.47</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413638170.20</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sz w:val="16"/>
                <w:szCs w:val="16"/>
              </w:rPr>
              <w:t>2</w:t>
            </w:r>
            <w:r>
              <w:rPr>
                <w:rFonts w:hint="default" w:ascii="Times New Roman" w:hAnsi="Times New Roman" w:cs="Times New Roman"/>
                <w:color w:val="000000"/>
                <w:sz w:val="16"/>
                <w:szCs w:val="16"/>
                <w:lang w:val="en-US" w:eastAsia="zh-CN"/>
              </w:rPr>
              <w:t>7</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人员淘汰经济补偿金</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按照相关规定据实列支</w:t>
            </w:r>
          </w:p>
        </w:tc>
        <w:tc>
          <w:tcPr>
            <w:tcW w:w="2080" w:type="pct"/>
            <w:vMerge w:val="restar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依据《株洲市国有企业市场化改革转型实施方案（2023-2025年）（征求意见稿）》《关于深化国有企业三项制度改革的实施方案（征求意见稿）》</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5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sz w:val="16"/>
                <w:szCs w:val="16"/>
              </w:rPr>
              <w:t>2</w:t>
            </w:r>
            <w:r>
              <w:rPr>
                <w:rFonts w:hint="default" w:ascii="Times New Roman" w:hAnsi="Times New Roman" w:cs="Times New Roman"/>
                <w:color w:val="000000"/>
                <w:sz w:val="16"/>
                <w:szCs w:val="16"/>
                <w:lang w:val="en-US" w:eastAsia="zh-CN"/>
              </w:rPr>
              <w:t>8</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人才招聘费</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按照相关规定据实列支</w:t>
            </w:r>
          </w:p>
        </w:tc>
        <w:tc>
          <w:tcPr>
            <w:tcW w:w="20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0" w:hRule="atLeast"/>
          <w:tblCellSpacing w:w="0" w:type="dxa"/>
        </w:trPr>
        <w:tc>
          <w:tcPr>
            <w:tcW w:w="24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29</w:t>
            </w:r>
          </w:p>
        </w:tc>
        <w:tc>
          <w:tcPr>
            <w:tcW w:w="591"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财务费用</w:t>
            </w:r>
          </w:p>
        </w:tc>
        <w:tc>
          <w:tcPr>
            <w:tcW w:w="27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14"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不列入规制成本项，另外核定</w:t>
            </w:r>
          </w:p>
        </w:tc>
        <w:tc>
          <w:tcPr>
            <w:tcW w:w="568"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不列入规制成本项，另外核定</w:t>
            </w:r>
          </w:p>
        </w:tc>
        <w:tc>
          <w:tcPr>
            <w:tcW w:w="732"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不列入规制成本项，另外核定</w:t>
            </w:r>
          </w:p>
        </w:tc>
        <w:tc>
          <w:tcPr>
            <w:tcW w:w="2080" w:type="pct"/>
            <w:tcBorders>
              <w:tl2br w:val="nil"/>
              <w:tr2bl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r>
    </w:tbl>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eastAsia="zh-CN"/>
        </w:rPr>
        <w:t>附表</w:t>
      </w:r>
      <w:r>
        <w:rPr>
          <w:rFonts w:hint="default" w:ascii="Times New Roman" w:hAnsi="Times New Roman" w:eastAsia="黑体" w:cs="Times New Roman"/>
          <w:b w:val="0"/>
          <w:bCs w:val="0"/>
          <w:color w:val="000000"/>
          <w:sz w:val="24"/>
          <w:szCs w:val="24"/>
          <w:lang w:val="en-US" w:eastAsia="zh-CN"/>
        </w:rPr>
        <w:t>2—</w:t>
      </w:r>
      <w:r>
        <w:rPr>
          <w:rFonts w:hint="default" w:ascii="Times New Roman" w:hAnsi="Times New Roman" w:eastAsia="黑体" w:cs="Times New Roman"/>
          <w:b w:val="0"/>
          <w:bCs w:val="0"/>
          <w:color w:val="000000"/>
          <w:sz w:val="24"/>
          <w:szCs w:val="24"/>
        </w:rPr>
        <w:t>株洲市</w:t>
      </w:r>
      <w:r>
        <w:rPr>
          <w:rFonts w:hint="default" w:ascii="Times New Roman" w:hAnsi="Times New Roman" w:eastAsia="黑体" w:cs="Times New Roman"/>
          <w:b w:val="0"/>
          <w:bCs w:val="0"/>
          <w:color w:val="000000"/>
          <w:sz w:val="24"/>
          <w:szCs w:val="24"/>
          <w:lang w:eastAsia="zh-CN"/>
        </w:rPr>
        <w:t>与其他城市</w:t>
      </w:r>
      <w:r>
        <w:rPr>
          <w:rFonts w:hint="default" w:ascii="Times New Roman" w:hAnsi="Times New Roman" w:eastAsia="黑体" w:cs="Times New Roman"/>
          <w:b w:val="0"/>
          <w:bCs w:val="0"/>
          <w:color w:val="000000"/>
          <w:sz w:val="24"/>
          <w:szCs w:val="24"/>
        </w:rPr>
        <w:t>公交成本规制</w:t>
      </w:r>
      <w:r>
        <w:rPr>
          <w:rFonts w:hint="default" w:ascii="Times New Roman" w:hAnsi="Times New Roman" w:eastAsia="黑体" w:cs="Times New Roman"/>
          <w:b w:val="0"/>
          <w:bCs w:val="0"/>
          <w:color w:val="000000"/>
          <w:sz w:val="24"/>
          <w:szCs w:val="24"/>
          <w:lang w:eastAsia="zh-CN"/>
        </w:rPr>
        <w:t>运营指标推荐</w:t>
      </w:r>
      <w:r>
        <w:rPr>
          <w:rFonts w:hint="default" w:ascii="Times New Roman" w:hAnsi="Times New Roman" w:eastAsia="黑体" w:cs="Times New Roman"/>
          <w:b w:val="0"/>
          <w:bCs w:val="0"/>
          <w:color w:val="000000"/>
          <w:sz w:val="24"/>
          <w:szCs w:val="24"/>
        </w:rPr>
        <w:t>值</w:t>
      </w:r>
      <w:r>
        <w:rPr>
          <w:rFonts w:hint="default" w:ascii="Times New Roman" w:hAnsi="Times New Roman" w:eastAsia="黑体" w:cs="Times New Roman"/>
          <w:b w:val="0"/>
          <w:bCs w:val="0"/>
          <w:color w:val="000000"/>
          <w:sz w:val="24"/>
          <w:szCs w:val="24"/>
          <w:lang w:eastAsia="zh-CN"/>
        </w:rPr>
        <w:t>对比一览表</w:t>
      </w:r>
    </w:p>
    <w:tbl>
      <w:tblPr>
        <w:tblStyle w:val="4"/>
        <w:tblW w:w="5138" w:type="pct"/>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614"/>
        <w:gridCol w:w="643"/>
        <w:gridCol w:w="1005"/>
        <w:gridCol w:w="1292"/>
        <w:gridCol w:w="582"/>
        <w:gridCol w:w="740"/>
        <w:gridCol w:w="551"/>
        <w:gridCol w:w="703"/>
        <w:gridCol w:w="862"/>
        <w:gridCol w:w="734"/>
        <w:gridCol w:w="1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blCellSpacing w:w="0" w:type="dxa"/>
        </w:trPr>
        <w:tc>
          <w:tcPr>
            <w:tcW w:w="2258" w:type="pct"/>
            <w:gridSpan w:val="5"/>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1089" w:type="pct"/>
            <w:gridSpan w:val="3"/>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其他城市</w:t>
            </w:r>
          </w:p>
        </w:tc>
        <w:tc>
          <w:tcPr>
            <w:tcW w:w="1652" w:type="pct"/>
            <w:gridSpan w:val="3"/>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株洲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90" w:hRule="atLeast"/>
          <w:tblCellSpacing w:w="0" w:type="dxa"/>
        </w:trPr>
        <w:tc>
          <w:tcPr>
            <w:tcW w:w="33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成本一级分类</w:t>
            </w: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成本二级分类</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成本三级分类</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指标名称</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计量单位</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湘潭数据</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长沙数据</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常州数据</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标准值</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微软雅黑" w:cs="Times New Roman"/>
                <w:b/>
                <w:bCs/>
                <w:color w:val="000000"/>
                <w:sz w:val="16"/>
                <w:szCs w:val="16"/>
              </w:rPr>
              <w:t>标准定额上限</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标准定额上限约束方法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16" w:hRule="atLeast"/>
          <w:tblCellSpacing w:w="0" w:type="dxa"/>
        </w:trPr>
        <w:tc>
          <w:tcPr>
            <w:tcW w:w="335"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直接成本</w:t>
            </w:r>
          </w:p>
        </w:tc>
        <w:tc>
          <w:tcPr>
            <w:tcW w:w="351"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人员工资及工资性支出</w:t>
            </w:r>
          </w:p>
        </w:tc>
        <w:tc>
          <w:tcPr>
            <w:tcW w:w="548"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人员工资</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主营业务年均职工总数</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2278</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8766</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4911.00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2158</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0"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年均驾驶员总数</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1,322</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5955</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2683.00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1575</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3"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人均工资水平</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人</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51,505.49</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91413.00</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90130.00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82107.49</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822"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五险一金</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人均社会保障费用</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人</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11,529.37</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33799.00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按实际工资基数和国家规定比例缴纳</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3"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企业年金</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企业年金缴纳比例</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4.00%</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4.00%</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固定比例法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45"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职工福利费</w:t>
            </w:r>
          </w:p>
        </w:tc>
        <w:tc>
          <w:tcPr>
            <w:tcW w:w="705"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职工福利费等三项费用计提比例</w:t>
            </w:r>
          </w:p>
        </w:tc>
        <w:tc>
          <w:tcPr>
            <w:tcW w:w="316"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0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5.63%</w:t>
            </w:r>
          </w:p>
        </w:tc>
        <w:tc>
          <w:tcPr>
            <w:tcW w:w="301"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71"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4.84%</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14%</w:t>
            </w:r>
          </w:p>
        </w:tc>
        <w:tc>
          <w:tcPr>
            <w:tcW w:w="778"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按不超过国家标准上限计提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55"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工会经费</w:t>
            </w:r>
          </w:p>
        </w:tc>
        <w:tc>
          <w:tcPr>
            <w:tcW w:w="70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16"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04"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0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w:t>
            </w:r>
          </w:p>
        </w:tc>
        <w:tc>
          <w:tcPr>
            <w:tcW w:w="47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w:t>
            </w:r>
          </w:p>
        </w:tc>
        <w:tc>
          <w:tcPr>
            <w:tcW w:w="778"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288"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职工教育经费</w:t>
            </w:r>
          </w:p>
        </w:tc>
        <w:tc>
          <w:tcPr>
            <w:tcW w:w="70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16"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04"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0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7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2.5%</w:t>
            </w:r>
          </w:p>
        </w:tc>
        <w:tc>
          <w:tcPr>
            <w:tcW w:w="778"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55"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燃料电力消耗费</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年营运里程</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万公里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3500</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sz w:val="16"/>
                <w:szCs w:val="16"/>
              </w:rPr>
              <w:t>2</w:t>
            </w:r>
            <w:r>
              <w:rPr>
                <w:rFonts w:hint="default" w:ascii="Times New Roman" w:hAnsi="Times New Roman" w:cs="Times New Roman"/>
                <w:color w:val="000000"/>
                <w:sz w:val="16"/>
                <w:szCs w:val="16"/>
                <w:lang w:val="en-US" w:eastAsia="zh-CN"/>
              </w:rPr>
              <w:t>0000</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r>
              <w:rPr>
                <w:rFonts w:hint="default" w:ascii="Times New Roman" w:hAnsi="Times New Roman" w:cs="Times New Roman"/>
                <w:color w:val="000000"/>
                <w:sz w:val="16"/>
                <w:szCs w:val="16"/>
                <w:lang w:val="en-US" w:eastAsia="zh-CN"/>
              </w:rPr>
              <w:t>0000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4900</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16"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柴油消耗成本</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百公里油耗(柴油)</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升</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27.2</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29.17</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27.42</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27.11</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&lt;=29.17</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上限法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16"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电能消耗成本</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百公里电耗</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度</w:t>
            </w:r>
            <w:r>
              <w:rPr>
                <w:rFonts w:hint="default" w:ascii="Times New Roman" w:hAnsi="Times New Roman" w:cs="Times New Roman"/>
                <w:color w:val="000000"/>
                <w:sz w:val="16"/>
                <w:szCs w:val="16"/>
              </w:rPr>
              <w:t>/</w:t>
            </w:r>
            <w:r>
              <w:rPr>
                <w:rFonts w:hint="default" w:ascii="Times New Roman" w:hAnsi="Times New Roman" w:eastAsia="宋体" w:cs="Times New Roman"/>
                <w:color w:val="000000"/>
                <w:sz w:val="16"/>
                <w:szCs w:val="16"/>
              </w:rPr>
              <w:t>百公里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82</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85.42</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70.23</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72.41</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&lt;=85.42</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上限法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19"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保修材料费和轮胎消耗费</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百公里维修材料费</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元/百公里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25.91</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lang w:val="en-US" w:eastAsia="zh-CN"/>
              </w:rPr>
              <w:t>22</w:t>
            </w:r>
            <w:r>
              <w:rPr>
                <w:rFonts w:hint="default" w:ascii="Times New Roman" w:hAnsi="Times New Roman" w:cs="Times New Roman"/>
                <w:color w:val="000000"/>
                <w:sz w:val="16"/>
                <w:szCs w:val="16"/>
              </w:rPr>
              <w:t>.9</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28.31</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21.92</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&lt;=28.31</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上限法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19"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保险与事故损失费</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交强险、三责、车损险实际保费支出（元）</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台均保险费</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（元/台）</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6193.70</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47"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事故损失费（元）</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百公里事故净支出</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(元/百公里)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5.18</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4.45</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&lt;=5.18</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上限法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16"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安全费</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安全生产费计提比例</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1.50%</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1.50%</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1.50%</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838"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其他直接运营费</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百公里运营业务费(元/百公里)</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元/百公里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eastAsia="zh-CN"/>
              </w:rPr>
            </w:pPr>
            <w:r>
              <w:rPr>
                <w:rFonts w:hint="default" w:ascii="Times New Roman" w:hAnsi="Times New Roman" w:eastAsia="宋体" w:cs="Times New Roman"/>
                <w:color w:val="000000"/>
                <w:sz w:val="16"/>
                <w:szCs w:val="16"/>
              </w:rPr>
              <w:t>——</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24.71</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&lt;=47.25</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1.因三项制度改革，原本在人工成本列支1300万元，2024年转为在运营业务费中列支。2.单位成本会随里程数变化，里程数减少，单位成本提升，里程数增大，单位成本减少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69" w:hRule="atLeast"/>
          <w:tblCellSpacing w:w="0" w:type="dxa"/>
        </w:trPr>
        <w:tc>
          <w:tcPr>
            <w:tcW w:w="335"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期间费用</w:t>
            </w: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管理费用</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百公里管理费(元/百公里)</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元/百公里</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12.39</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&lt;=12.39</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上限法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19" w:hRule="atLeast"/>
          <w:tblCellSpacing w:w="0" w:type="dxa"/>
        </w:trPr>
        <w:tc>
          <w:tcPr>
            <w:tcW w:w="335" w:type="pct"/>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财务费用</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年利率</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4.90%</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不列入规制成本项，另外核定</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16" w:hRule="atLeast"/>
          <w:tblCellSpacing w:w="0" w:type="dxa"/>
        </w:trPr>
        <w:tc>
          <w:tcPr>
            <w:tcW w:w="33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运营收入</w:t>
            </w:r>
          </w:p>
        </w:tc>
        <w:tc>
          <w:tcPr>
            <w:tcW w:w="35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主营业务收入</w:t>
            </w:r>
          </w:p>
        </w:tc>
        <w:tc>
          <w:tcPr>
            <w:tcW w:w="54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千公里票款收入</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元</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1,912.55</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697.82</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2500</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94" w:hRule="atLeast"/>
          <w:tblCellSpacing w:w="0" w:type="dxa"/>
        </w:trPr>
        <w:tc>
          <w:tcPr>
            <w:tcW w:w="1235" w:type="pct"/>
            <w:gridSpan w:val="3"/>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其他</w:t>
            </w: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营运车辆台数</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台</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1,041.00</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5043.00</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1271</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1271</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88" w:hRule="atLeast"/>
          <w:tblCellSpacing w:w="0" w:type="dxa"/>
        </w:trPr>
        <w:tc>
          <w:tcPr>
            <w:tcW w:w="1235" w:type="pct"/>
            <w:gridSpan w:val="3"/>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营运车辆标台数</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标台</w:t>
            </w: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1,228.00</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6338.00</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2545.00</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1583</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88" w:hRule="atLeast"/>
          <w:tblCellSpacing w:w="0" w:type="dxa"/>
        </w:trPr>
        <w:tc>
          <w:tcPr>
            <w:tcW w:w="1235" w:type="pct"/>
            <w:gridSpan w:val="3"/>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总人数人车比</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2.1883</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2.35</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2.35</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1.70</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05" w:hRule="atLeast"/>
          <w:tblCellSpacing w:w="0" w:type="dxa"/>
        </w:trPr>
        <w:tc>
          <w:tcPr>
            <w:tcW w:w="1235" w:type="pct"/>
            <w:gridSpan w:val="3"/>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70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驾驶员人车比</w:t>
            </w:r>
          </w:p>
        </w:tc>
        <w:tc>
          <w:tcPr>
            <w:tcW w:w="31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40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1.2706</w:t>
            </w:r>
          </w:p>
        </w:tc>
        <w:tc>
          <w:tcPr>
            <w:tcW w:w="3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3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1.28</w:t>
            </w:r>
          </w:p>
        </w:tc>
        <w:tc>
          <w:tcPr>
            <w:tcW w:w="47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rPr>
              <w:t>1.24</w:t>
            </w:r>
          </w:p>
        </w:tc>
        <w:tc>
          <w:tcPr>
            <w:tcW w:w="401"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778"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r>
    </w:tbl>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eastAsia="zh-CN"/>
        </w:rPr>
      </w:pPr>
    </w:p>
    <w:p>
      <w:pPr>
        <w:keepNext w:val="0"/>
        <w:keepLines w:val="0"/>
        <w:pageBreakBefore w:val="0"/>
        <w:kinsoku/>
        <w:topLinePunct w:val="0"/>
        <w:autoSpaceDE/>
        <w:autoSpaceDN/>
        <w:bidi w:val="0"/>
        <w:spacing w:beforeAutospacing="0" w:afterAutospacing="0" w:line="560" w:lineRule="exact"/>
        <w:ind w:firstLine="480" w:firstLineChars="200"/>
        <w:jc w:val="center"/>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eastAsia="zh-CN"/>
        </w:rPr>
        <w:t>附表</w:t>
      </w:r>
      <w:r>
        <w:rPr>
          <w:rFonts w:hint="default" w:ascii="Times New Roman" w:hAnsi="Times New Roman" w:eastAsia="黑体" w:cs="Times New Roman"/>
          <w:b w:val="0"/>
          <w:bCs w:val="0"/>
          <w:color w:val="000000"/>
          <w:sz w:val="24"/>
          <w:szCs w:val="24"/>
          <w:lang w:val="en-US" w:eastAsia="zh-CN"/>
        </w:rPr>
        <w:t>3—</w:t>
      </w:r>
      <w:r>
        <w:rPr>
          <w:rFonts w:hint="default" w:ascii="Times New Roman" w:hAnsi="Times New Roman" w:eastAsia="黑体" w:cs="Times New Roman"/>
          <w:b w:val="0"/>
          <w:bCs w:val="0"/>
          <w:color w:val="000000"/>
          <w:sz w:val="24"/>
          <w:szCs w:val="24"/>
        </w:rPr>
        <w:t>2024年</w:t>
      </w:r>
      <w:r>
        <w:rPr>
          <w:rFonts w:hint="default" w:ascii="Times New Roman" w:hAnsi="Times New Roman" w:eastAsia="黑体" w:cs="Times New Roman"/>
          <w:b w:val="0"/>
          <w:bCs w:val="0"/>
          <w:color w:val="000000"/>
          <w:sz w:val="24"/>
          <w:szCs w:val="24"/>
          <w:lang w:eastAsia="zh-CN"/>
        </w:rPr>
        <w:t>株洲市</w:t>
      </w:r>
      <w:r>
        <w:rPr>
          <w:rFonts w:hint="default" w:ascii="Times New Roman" w:hAnsi="Times New Roman" w:eastAsia="黑体" w:cs="Times New Roman"/>
          <w:b w:val="0"/>
          <w:bCs w:val="0"/>
          <w:color w:val="000000"/>
          <w:sz w:val="24"/>
          <w:szCs w:val="24"/>
        </w:rPr>
        <w:t>公交</w:t>
      </w:r>
      <w:r>
        <w:rPr>
          <w:rFonts w:hint="default" w:ascii="Times New Roman" w:hAnsi="Times New Roman" w:eastAsia="黑体" w:cs="Times New Roman"/>
          <w:b w:val="0"/>
          <w:bCs w:val="0"/>
          <w:color w:val="000000"/>
          <w:sz w:val="24"/>
          <w:szCs w:val="24"/>
          <w:lang w:eastAsia="zh-CN"/>
        </w:rPr>
        <w:t>企业</w:t>
      </w:r>
      <w:r>
        <w:rPr>
          <w:rFonts w:hint="default" w:ascii="Times New Roman" w:hAnsi="Times New Roman" w:eastAsia="黑体" w:cs="Times New Roman"/>
          <w:b w:val="0"/>
          <w:bCs w:val="0"/>
          <w:color w:val="000000"/>
          <w:sz w:val="24"/>
          <w:szCs w:val="24"/>
        </w:rPr>
        <w:t>运营</w:t>
      </w:r>
      <w:r>
        <w:rPr>
          <w:rFonts w:hint="default" w:ascii="Times New Roman" w:hAnsi="Times New Roman" w:eastAsia="黑体" w:cs="Times New Roman"/>
          <w:b w:val="0"/>
          <w:bCs w:val="0"/>
          <w:color w:val="000000"/>
          <w:sz w:val="24"/>
          <w:szCs w:val="24"/>
          <w:lang w:eastAsia="zh-CN"/>
        </w:rPr>
        <w:t>资金缺口</w:t>
      </w:r>
      <w:r>
        <w:rPr>
          <w:rFonts w:hint="default" w:ascii="Times New Roman" w:hAnsi="Times New Roman" w:eastAsia="黑体" w:cs="Times New Roman"/>
          <w:b w:val="0"/>
          <w:bCs w:val="0"/>
          <w:color w:val="000000"/>
          <w:sz w:val="24"/>
          <w:szCs w:val="24"/>
        </w:rPr>
        <w:t>测算</w:t>
      </w:r>
    </w:p>
    <w:tbl>
      <w:tblPr>
        <w:tblStyle w:val="4"/>
        <w:tblW w:w="4982" w:type="pct"/>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autofit"/>
        <w:tblCellMar>
          <w:top w:w="0" w:type="dxa"/>
          <w:left w:w="0" w:type="dxa"/>
          <w:bottom w:w="0" w:type="dxa"/>
          <w:right w:w="0" w:type="dxa"/>
        </w:tblCellMar>
      </w:tblPr>
      <w:tblGrid>
        <w:gridCol w:w="409"/>
        <w:gridCol w:w="816"/>
        <w:gridCol w:w="1091"/>
        <w:gridCol w:w="1512"/>
        <w:gridCol w:w="690"/>
        <w:gridCol w:w="1045"/>
        <w:gridCol w:w="690"/>
        <w:gridCol w:w="1045"/>
        <w:gridCol w:w="530"/>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blCellSpacing w:w="0" w:type="dxa"/>
          <w:jc w:val="center"/>
        </w:trPr>
        <w:tc>
          <w:tcPr>
            <w:tcW w:w="2170" w:type="pct"/>
            <w:gridSpan w:val="4"/>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970" w:type="pct"/>
            <w:gridSpan w:val="2"/>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lang w:eastAsia="zh-CN"/>
              </w:rPr>
            </w:pPr>
            <w:r>
              <w:rPr>
                <w:rFonts w:hint="default" w:ascii="Times New Roman" w:hAnsi="Times New Roman" w:cs="Times New Roman"/>
                <w:b/>
                <w:bCs/>
                <w:color w:val="000000"/>
                <w:sz w:val="16"/>
                <w:szCs w:val="16"/>
                <w:lang w:eastAsia="zh-CN"/>
              </w:rPr>
              <w:t>按纵向历史数据测算</w:t>
            </w:r>
          </w:p>
        </w:tc>
        <w:tc>
          <w:tcPr>
            <w:tcW w:w="970" w:type="pct"/>
            <w:gridSpan w:val="2"/>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b/>
                <w:bCs/>
                <w:color w:val="000000"/>
                <w:sz w:val="16"/>
                <w:szCs w:val="16"/>
                <w:lang w:eastAsia="zh-CN"/>
              </w:rPr>
              <w:t>按行业及国标测算</w:t>
            </w:r>
          </w:p>
        </w:tc>
        <w:tc>
          <w:tcPr>
            <w:tcW w:w="887" w:type="pct"/>
            <w:gridSpan w:val="2"/>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推荐成本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5000" w:type="pct"/>
            <w:gridSpan w:val="10"/>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20"/>
                <w:szCs w:val="20"/>
              </w:rPr>
              <w:t>一、运营成本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5000" w:type="pct"/>
            <w:gridSpan w:val="10"/>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20"/>
                <w:szCs w:val="20"/>
              </w:rPr>
              <w:t>1.常规公交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一级分类</w:t>
            </w: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二级分类</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三级分类</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参数名称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取值</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成本金额</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取值</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成本金额</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取值</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成本金额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sz w:val="16"/>
                <w:szCs w:val="16"/>
              </w:rPr>
              <w:t>直接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成本</w:t>
            </w:r>
          </w:p>
        </w:tc>
        <w:tc>
          <w:tcPr>
            <w:tcW w:w="463"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人员工资</w:t>
            </w:r>
          </w:p>
        </w:tc>
        <w:tc>
          <w:tcPr>
            <w:tcW w:w="617"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人员工资</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2022年城镇非私社平</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7886</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164056873.89</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7886</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381521691.1</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7886</w:t>
            </w:r>
          </w:p>
        </w:tc>
        <w:tc>
          <w:tcPr>
            <w:tcW w:w="590"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177209205.37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驾驶员工资系数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1.15</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其他职工工资系数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1.0</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工资增长率</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5.82%</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5.82%</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5.82%</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工资调控系数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主营业务年均职工总数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2078.00</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3490</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2158</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年均驾驶员总数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1450.00</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2126</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1575</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工资性支出</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养老保险费</w:t>
            </w:r>
          </w:p>
        </w:tc>
        <w:tc>
          <w:tcPr>
            <w:tcW w:w="855"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测算年度缴费比例</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32811374.78</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76304338.22</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35441841.07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医疗保险费</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8%</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13124549.91</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8%</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30521735.29</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8%</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14176736.43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失业保险费</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0.70%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1148398.12</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0.70%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2670651.84</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0.70%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1240464.44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工伤保险费</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1.80%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2953023.73</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1.8%</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6867390.44</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1.8%</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3189765.70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生育保险费</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0.70%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1148398.12</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0.70%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2670651.84</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0.70%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1240464.44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住房公积金</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19686824.87</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45782602.93</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21265104.64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企业年金</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企业年金缴纳比例</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0.00%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0.00</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4.00%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15260867.64</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4.00%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7088368.21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职工福利费</w:t>
            </w:r>
          </w:p>
        </w:tc>
        <w:tc>
          <w:tcPr>
            <w:tcW w:w="855"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职工福利费等三项费用计提比例</w:t>
            </w:r>
          </w:p>
        </w:tc>
        <w:tc>
          <w:tcPr>
            <w:tcW w:w="386"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4.84%</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7933905.10</w:t>
            </w:r>
          </w:p>
        </w:tc>
        <w:tc>
          <w:tcPr>
            <w:tcW w:w="386"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5.63%</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21479671.21</w:t>
            </w:r>
          </w:p>
        </w:tc>
        <w:tc>
          <w:tcPr>
            <w:tcW w:w="296"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4.84%</w:t>
            </w:r>
          </w:p>
        </w:tc>
        <w:tc>
          <w:tcPr>
            <w:tcW w:w="590"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8569961.05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工会经费</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职工教育经费</w:t>
            </w:r>
          </w:p>
        </w:tc>
        <w:tc>
          <w:tcPr>
            <w:tcW w:w="855"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小计</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78806474.63</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201557909.42</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92212705.98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燃料电力消耗费</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2024年计划营运里程(100km)</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541165.87</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541165.87</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490000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柴油消耗成本</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百公里油耗(升/100km)(柴油)</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27.11</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5805804.91</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27.11</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5805804.91</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27.11</w:t>
            </w:r>
          </w:p>
        </w:tc>
        <w:tc>
          <w:tcPr>
            <w:tcW w:w="590"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5256880.67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测算年度柴油价格(元/升)</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7.61</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7.61</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7.61</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测算年度上一年度柴油车总里程占比</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0.05</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0.05</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0.05</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电能消耗成本</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百公里电耗(kwh/100km)</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76.00</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35740745.78</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76.00</w:t>
            </w: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35740745.78</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76.00</w:t>
            </w:r>
          </w:p>
        </w:tc>
        <w:tc>
          <w:tcPr>
            <w:tcW w:w="590"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32361548.21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测算年度电力价格(元/kwh)</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0.9</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0.9</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0.9</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测算年度上一年度电车总里程占比</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0.95</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0.95</w:t>
            </w: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0.95</w:t>
            </w: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小计</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41654114.17</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41654114.17</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37715822.50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折旧与摊销</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63215732.44</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63215732.44</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63215732.44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维修材料费</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百公里维修材料费(元/百公里)</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14.15</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7655600.00</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14.15</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7655600.00</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14.15</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6931782.29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轮胎消耗费</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百公里轮胎消耗费(元/百公里)</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7.77</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4204061.51</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7.77</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4204061.51</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7.77</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3806578.08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46"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保险与事故损失费</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交强险、三责、承运人险保费支出（元）</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台均保险费（元/台）</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6193.70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7870128.13</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6193.70</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7870128.13</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6193.70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7870128.13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事故净支出（元）</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百公里事故净支出(元/百公里)</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4.45</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2407292.35</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4.45</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2407292.35</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4.45</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2179688.91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安全费</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安全生产费计提比例</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0.82%</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1107627.66</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1.5%</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2024112.29</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1.5%</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1832737.57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其他直接运营费</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百公里运营业务费(元/百公里)</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24.71</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13370254.18</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24.71</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13370254.18</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24.71</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12106130.29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35" w:hRule="atLeast"/>
          <w:tblCellSpacing w:w="0" w:type="dxa"/>
          <w:jc w:val="center"/>
        </w:trPr>
        <w:tc>
          <w:tcPr>
            <w:tcW w:w="23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期间费用</w:t>
            </w: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管理费用</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百公里管理费(元/百公里)</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12.39</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6703376.40</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12.39</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6703376.40</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12.39</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6069589.03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财务费用</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贷款金额</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不列入规制成本项，另外核定</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不列入规制成本项，另外核定</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vMerge w:val="restar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不列入规制成本项，另外核定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621" w:hRule="atLeast"/>
          <w:tblCellSpacing w:w="0" w:type="dxa"/>
          <w:jc w:val="center"/>
        </w:trPr>
        <w:tc>
          <w:tcPr>
            <w:tcW w:w="23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463"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val="0"/>
                <w:bCs w:val="0"/>
                <w:color w:val="000000"/>
                <w:sz w:val="16"/>
                <w:szCs w:val="16"/>
              </w:rPr>
            </w:pP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年利率</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color w:val="000000"/>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3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税金及附加</w:t>
            </w:r>
          </w:p>
        </w:tc>
        <w:tc>
          <w:tcPr>
            <w:tcW w:w="463"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b w:val="0"/>
                <w:bCs w:val="0"/>
                <w:color w:val="000000"/>
                <w:sz w:val="16"/>
                <w:szCs w:val="16"/>
              </w:rPr>
            </w:pPr>
            <w:r>
              <w:rPr>
                <w:rFonts w:hint="default" w:ascii="Times New Roman" w:hAnsi="Times New Roman" w:eastAsia="宋体" w:cs="Times New Roman"/>
                <w:b w:val="0"/>
                <w:bCs w:val="0"/>
                <w:color w:val="000000"/>
                <w:sz w:val="16"/>
                <w:szCs w:val="16"/>
              </w:rPr>
              <w:t>税金及附加</w:t>
            </w:r>
          </w:p>
        </w:tc>
        <w:tc>
          <w:tcPr>
            <w:tcW w:w="617"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2483307.17</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2483307.17</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2483307.17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170" w:type="pct"/>
            <w:gridSpan w:val="4"/>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常规公交运营成本</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393582750.60</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734755127.82</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413638170.20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5000" w:type="pct"/>
            <w:gridSpan w:val="10"/>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20"/>
                <w:szCs w:val="20"/>
              </w:rPr>
              <w:t>2.智轨运维成本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170" w:type="pct"/>
            <w:gridSpan w:val="4"/>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智轨运维成本</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27855500.00</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27855500.00</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27855500.00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170" w:type="pct"/>
            <w:gridSpan w:val="4"/>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总成本(智轨+常规公交)</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421438250.60</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762610627.82</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441493670.20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66" w:hRule="atLeast"/>
          <w:tblCellSpacing w:w="0" w:type="dxa"/>
          <w:jc w:val="center"/>
        </w:trPr>
        <w:tc>
          <w:tcPr>
            <w:tcW w:w="5000" w:type="pct"/>
            <w:gridSpan w:val="10"/>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20"/>
                <w:szCs w:val="20"/>
              </w:rPr>
              <w:t>二、运营收入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66" w:hRule="atLeast"/>
          <w:tblCellSpacing w:w="0" w:type="dxa"/>
          <w:jc w:val="center"/>
        </w:trPr>
        <w:tc>
          <w:tcPr>
            <w:tcW w:w="1315" w:type="pct"/>
            <w:gridSpan w:val="3"/>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主营业务收入（票款收入）</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千公里票款收入（元）</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2601.37</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140777395.28</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2601.37</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140777395.28</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2500</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122500000.00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46" w:hRule="atLeast"/>
          <w:tblCellSpacing w:w="0" w:type="dxa"/>
          <w:jc w:val="center"/>
        </w:trPr>
        <w:tc>
          <w:tcPr>
            <w:tcW w:w="1315" w:type="pct"/>
            <w:gridSpan w:val="3"/>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其他业务收入</w:t>
            </w:r>
          </w:p>
        </w:tc>
        <w:tc>
          <w:tcPr>
            <w:tcW w:w="855"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台均其他业务收入净额</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按1000万计算，年终据实核定</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按1000万计算，年终据实核定</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color w:val="000000"/>
                <w:sz w:val="16"/>
                <w:szCs w:val="16"/>
              </w:rPr>
              <w:t>——</w:t>
            </w: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按1000万计算，年终据实核定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24" w:hRule="atLeast"/>
          <w:tblCellSpacing w:w="0" w:type="dxa"/>
          <w:jc w:val="center"/>
        </w:trPr>
        <w:tc>
          <w:tcPr>
            <w:tcW w:w="2170" w:type="pct"/>
            <w:gridSpan w:val="4"/>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总收入</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150777395.28</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150777395.28</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6"/>
                <w:szCs w:val="16"/>
              </w:rPr>
            </w:pPr>
            <w:r>
              <w:rPr>
                <w:rFonts w:hint="default" w:ascii="Times New Roman" w:hAnsi="Times New Roman" w:eastAsia="宋体" w:cs="Times New Roman"/>
                <w:b/>
                <w:bCs/>
                <w:color w:val="000000"/>
                <w:sz w:val="16"/>
                <w:szCs w:val="16"/>
              </w:rPr>
              <w:t>132500000.00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331" w:hRule="atLeast"/>
          <w:tblCellSpacing w:w="0" w:type="dxa"/>
          <w:jc w:val="center"/>
        </w:trPr>
        <w:tc>
          <w:tcPr>
            <w:tcW w:w="2170" w:type="pct"/>
            <w:gridSpan w:val="4"/>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宋体" w:cs="Times New Roman"/>
                <w:color w:val="000000"/>
                <w:sz w:val="18"/>
                <w:szCs w:val="18"/>
                <w:lang w:eastAsia="zh-CN"/>
              </w:rPr>
            </w:pPr>
            <w:r>
              <w:rPr>
                <w:rFonts w:hint="default" w:ascii="Times New Roman" w:hAnsi="Times New Roman" w:eastAsia="宋体" w:cs="Times New Roman"/>
                <w:b/>
                <w:bCs/>
                <w:color w:val="000000"/>
                <w:sz w:val="18"/>
                <w:szCs w:val="18"/>
              </w:rPr>
              <w:t>运营缺口</w:t>
            </w:r>
            <w:r>
              <w:rPr>
                <w:rFonts w:hint="default" w:ascii="Times New Roman" w:hAnsi="Times New Roman" w:cs="Times New Roman"/>
                <w:b/>
                <w:bCs/>
                <w:color w:val="000000"/>
                <w:sz w:val="18"/>
                <w:szCs w:val="18"/>
                <w:lang w:eastAsia="zh-CN"/>
              </w:rPr>
              <w:t>（元）</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8"/>
                <w:szCs w:val="18"/>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8"/>
                <w:szCs w:val="18"/>
              </w:rPr>
            </w:pPr>
            <w:r>
              <w:rPr>
                <w:rFonts w:hint="default" w:ascii="Times New Roman" w:hAnsi="Times New Roman" w:eastAsia="宋体" w:cs="Times New Roman"/>
                <w:b/>
                <w:bCs/>
                <w:color w:val="000000"/>
                <w:sz w:val="18"/>
                <w:szCs w:val="18"/>
              </w:rPr>
              <w:t>270660855.31</w:t>
            </w:r>
          </w:p>
        </w:tc>
        <w:tc>
          <w:tcPr>
            <w:tcW w:w="38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8"/>
                <w:szCs w:val="18"/>
              </w:rPr>
            </w:pPr>
          </w:p>
        </w:tc>
        <w:tc>
          <w:tcPr>
            <w:tcW w:w="584"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8"/>
                <w:szCs w:val="18"/>
              </w:rPr>
            </w:pPr>
            <w:r>
              <w:rPr>
                <w:rFonts w:hint="default" w:ascii="Times New Roman" w:hAnsi="Times New Roman" w:eastAsia="宋体" w:cs="Times New Roman"/>
                <w:b/>
                <w:bCs/>
                <w:color w:val="000000"/>
                <w:sz w:val="18"/>
                <w:szCs w:val="18"/>
              </w:rPr>
              <w:t>611833232.54</w:t>
            </w:r>
          </w:p>
        </w:tc>
        <w:tc>
          <w:tcPr>
            <w:tcW w:w="296"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8"/>
                <w:szCs w:val="18"/>
              </w:rPr>
            </w:pPr>
          </w:p>
        </w:tc>
        <w:tc>
          <w:tcPr>
            <w:tcW w:w="590" w:type="pct"/>
            <w:tcBorders>
              <w:tl2br w:val="nil"/>
              <w:tr2bl w:val="nil"/>
            </w:tcBorders>
            <w:shd w:val="clear" w:color="auto" w:fill="FFFFFF"/>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cs="Times New Roman"/>
                <w:color w:val="000000"/>
                <w:sz w:val="18"/>
                <w:szCs w:val="18"/>
              </w:rPr>
            </w:pPr>
            <w:r>
              <w:rPr>
                <w:rFonts w:hint="default" w:ascii="Times New Roman" w:hAnsi="Times New Roman" w:eastAsia="宋体" w:cs="Times New Roman"/>
                <w:b/>
                <w:bCs/>
                <w:color w:val="000000"/>
                <w:sz w:val="18"/>
                <w:szCs w:val="18"/>
              </w:rPr>
              <w:t>308993670.20</w:t>
            </w:r>
          </w:p>
        </w:tc>
      </w:tr>
    </w:tbl>
    <w:p>
      <w:pPr>
        <w:keepNext w:val="0"/>
        <w:keepLines w:val="0"/>
        <w:pageBreakBefore w:val="0"/>
        <w:kinsoku/>
        <w:topLinePunct w:val="0"/>
        <w:autoSpaceDE/>
        <w:autoSpaceDN/>
        <w:bidi w:val="0"/>
        <w:spacing w:beforeAutospacing="0" w:afterAutospacing="0" w:line="560" w:lineRule="exact"/>
        <w:ind w:firstLine="320" w:firstLineChars="100"/>
        <w:rPr>
          <w:rFonts w:hint="default" w:ascii="Times New Roman" w:hAnsi="Times New Roman" w:eastAsia="黑体" w:cs="Times New Roman"/>
          <w:color w:val="000000"/>
          <w:sz w:val="32"/>
          <w:szCs w:val="32"/>
        </w:rPr>
      </w:pPr>
    </w:p>
    <w:p>
      <w:pPr>
        <w:keepNext w:val="0"/>
        <w:keepLines w:val="0"/>
        <w:pageBreakBefore w:val="0"/>
        <w:kinsoku/>
        <w:topLinePunct w:val="0"/>
        <w:autoSpaceDE/>
        <w:autoSpaceDN/>
        <w:bidi w:val="0"/>
        <w:spacing w:beforeAutospacing="0" w:afterAutospacing="0" w:line="560" w:lineRule="exact"/>
        <w:ind w:firstLine="320" w:firstLineChars="100"/>
        <w:rPr>
          <w:rFonts w:hint="default" w:ascii="Times New Roman" w:hAnsi="Times New Roman" w:eastAsia="黑体" w:cs="Times New Roman"/>
          <w:color w:val="000000"/>
          <w:sz w:val="32"/>
          <w:szCs w:val="32"/>
        </w:rPr>
      </w:pPr>
    </w:p>
    <w:p>
      <w:pPr>
        <w:keepNext w:val="0"/>
        <w:keepLines w:val="0"/>
        <w:pageBreakBefore w:val="0"/>
        <w:kinsoku/>
        <w:topLinePunct w:val="0"/>
        <w:autoSpaceDE/>
        <w:autoSpaceDN/>
        <w:bidi w:val="0"/>
        <w:spacing w:beforeAutospacing="0" w:afterAutospacing="0" w:line="560" w:lineRule="exact"/>
        <w:rPr>
          <w:rFonts w:hint="default" w:ascii="Times New Roman" w:hAnsi="Times New Roman" w:eastAsia="黑体" w:cs="Times New Roman"/>
          <w:color w:val="000000"/>
          <w:sz w:val="32"/>
          <w:szCs w:val="32"/>
          <w:lang w:val="en-US" w:eastAsia="zh-CN"/>
        </w:rPr>
      </w:pPr>
    </w:p>
    <w:p/>
    <w:sectPr>
      <w:pgSz w:w="11906" w:h="16838"/>
      <w:pgMar w:top="1418" w:right="141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ZjEyNDY4NWY1MDUwN2MzYjlkMjU3Y2M5ZTE1MGIifQ=="/>
  </w:docVars>
  <w:rsids>
    <w:rsidRoot w:val="00000000"/>
    <w:rsid w:val="02A14C7A"/>
    <w:rsid w:val="08892439"/>
    <w:rsid w:val="0932487E"/>
    <w:rsid w:val="1EFEA4C7"/>
    <w:rsid w:val="1FE769EF"/>
    <w:rsid w:val="2C2045B2"/>
    <w:rsid w:val="2D2F2CFF"/>
    <w:rsid w:val="317E6003"/>
    <w:rsid w:val="39330F9D"/>
    <w:rsid w:val="48362D3C"/>
    <w:rsid w:val="48B9571B"/>
    <w:rsid w:val="4AD7433D"/>
    <w:rsid w:val="4DDB5B07"/>
    <w:rsid w:val="4F93528F"/>
    <w:rsid w:val="4FC60E49"/>
    <w:rsid w:val="5523289A"/>
    <w:rsid w:val="5BE55919"/>
    <w:rsid w:val="5C7D37AF"/>
    <w:rsid w:val="5EFB03E4"/>
    <w:rsid w:val="636B5B38"/>
    <w:rsid w:val="6BB69B3E"/>
    <w:rsid w:val="6EF26084"/>
    <w:rsid w:val="6F92269E"/>
    <w:rsid w:val="6FFF6B89"/>
    <w:rsid w:val="76751E96"/>
    <w:rsid w:val="76BF78A0"/>
    <w:rsid w:val="777D5CCF"/>
    <w:rsid w:val="7B3DF4C4"/>
    <w:rsid w:val="7CAF7B00"/>
    <w:rsid w:val="7D1F8194"/>
    <w:rsid w:val="7D2D30FB"/>
    <w:rsid w:val="7FAFCBA2"/>
    <w:rsid w:val="9D5F9846"/>
    <w:rsid w:val="ABE77918"/>
    <w:rsid w:val="AFFF359A"/>
    <w:rsid w:val="D517A797"/>
    <w:rsid w:val="F2B7779D"/>
    <w:rsid w:val="F3EF464D"/>
    <w:rsid w:val="F3EFBAFB"/>
    <w:rsid w:val="F745B703"/>
    <w:rsid w:val="FB4DBD7F"/>
    <w:rsid w:val="FD77436C"/>
    <w:rsid w:val="FE2F603F"/>
    <w:rsid w:val="FEBFC100"/>
    <w:rsid w:val="FEBFDE0D"/>
    <w:rsid w:val="FEEFC2A9"/>
    <w:rsid w:val="FEFE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99"/>
    <w:pPr>
      <w:ind w:firstLine="420" w:firstLineChars="200"/>
    </w:pPr>
  </w:style>
  <w:style w:type="paragraph" w:customStyle="1" w:styleId="7">
    <w:name w:val="Y-正文"/>
    <w:basedOn w:val="1"/>
    <w:qFormat/>
    <w:uiPriority w:val="0"/>
    <w:pPr>
      <w:widowControl/>
      <w:adjustRightInd w:val="0"/>
      <w:snapToGrid w:val="0"/>
      <w:spacing w:line="360" w:lineRule="auto"/>
      <w:ind w:firstLine="200" w:firstLineChars="200"/>
      <w:jc w:val="left"/>
      <w:textAlignment w:val="baseline"/>
    </w:pPr>
    <w:rPr>
      <w:rFonts w:ascii="Calibri" w:hAnsi="Calibri"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2024-01-15T22:37:00Z</dcterms:created>
  <dc:creator>Administrator</dc:creator>
  <cp:lastModifiedBy>greatwall</cp:lastModifiedBy>
  <dcterms:modified xsi:type="dcterms:W3CDTF">2024-01-15T16:37:51Z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532DF0E0096E4779AD7A877DC6D3DD34_12</vt:lpwstr>
  </property>
</Properties>
</file>