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醴陵市农业农村局普法责任清单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25"/>
        <w:gridCol w:w="2025"/>
        <w:gridCol w:w="2025"/>
        <w:gridCol w:w="2025"/>
        <w:gridCol w:w="355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序号</w:t>
            </w:r>
          </w:p>
        </w:tc>
        <w:tc>
          <w:tcPr>
            <w:tcW w:w="2025"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单位</w:t>
            </w:r>
          </w:p>
        </w:tc>
        <w:tc>
          <w:tcPr>
            <w:tcW w:w="2025"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普法内容</w:t>
            </w:r>
          </w:p>
        </w:tc>
        <w:tc>
          <w:tcPr>
            <w:tcW w:w="2025"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普法对象</w:t>
            </w:r>
          </w:p>
        </w:tc>
        <w:tc>
          <w:tcPr>
            <w:tcW w:w="2025"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普法目标</w:t>
            </w:r>
          </w:p>
        </w:tc>
        <w:tc>
          <w:tcPr>
            <w:tcW w:w="3550"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具体举措</w:t>
            </w:r>
          </w:p>
        </w:tc>
        <w:tc>
          <w:tcPr>
            <w:tcW w:w="1525"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1</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学习宣传习近平新时代中国特色社会主义思想和党的十九大精神、习近平总书记关于全面依法治国的重要论述、党章党纪党规、社会主义核心价值观等</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局全体人员</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掌握和理解上述理论精神实质，增强领导干部运用法治思维和法治方式开展工作的能力。</w:t>
            </w:r>
          </w:p>
        </w:tc>
        <w:tc>
          <w:tcPr>
            <w:tcW w:w="3550"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将普法内容纳入局党组理论学习中心组以及局系统各基层党组织年度学习计划</w:t>
            </w:r>
            <w:r>
              <w:rPr>
                <w:rFonts w:hint="default" w:ascii="Times New Roman" w:hAnsi="Times New Roman" w:eastAsia="仿宋_GB2312" w:cs="Times New Roman"/>
                <w:sz w:val="22"/>
                <w:szCs w:val="22"/>
                <w:lang w:eastAsia="zh-CN"/>
              </w:rPr>
              <w:t>。</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学习宣传《民法典》、《中华人民共和国公职人员政务处分法》、《中华人民共和国档案法》等有关内容</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局全体人员</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lang w:val="en-US" w:eastAsia="zh-CN"/>
              </w:rPr>
              <w:t>广大社会群众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增强工作人员依法履职能力，提高社会公众对相关法律法规的知晓度。</w:t>
            </w:r>
          </w:p>
        </w:tc>
        <w:tc>
          <w:tcPr>
            <w:tcW w:w="3550" w:type="dxa"/>
            <w:vAlign w:val="center"/>
          </w:tcPr>
          <w:p>
            <w:pPr>
              <w:bidi w:val="0"/>
              <w:rPr>
                <w:rFonts w:hint="default" w:ascii="Times New Roman" w:hAnsi="Times New Roman" w:eastAsia="仿宋_GB2312" w:cs="Times New Roman"/>
                <w:sz w:val="22"/>
                <w:szCs w:val="20"/>
                <w:lang w:eastAsia="zh-CN"/>
              </w:rPr>
            </w:pP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0"/>
              </w:rPr>
              <w:t>组织</w:t>
            </w:r>
            <w:r>
              <w:rPr>
                <w:rFonts w:hint="default" w:ascii="Times New Roman" w:hAnsi="Times New Roman" w:eastAsia="仿宋_GB2312" w:cs="Times New Roman"/>
                <w:sz w:val="22"/>
                <w:szCs w:val="20"/>
                <w:lang w:eastAsia="zh-CN"/>
              </w:rPr>
              <w:t>本单位</w:t>
            </w:r>
            <w:r>
              <w:rPr>
                <w:rFonts w:hint="default" w:ascii="Times New Roman" w:hAnsi="Times New Roman" w:eastAsia="仿宋_GB2312" w:cs="Times New Roman"/>
                <w:sz w:val="22"/>
                <w:szCs w:val="20"/>
              </w:rPr>
              <w:t>干部</w:t>
            </w:r>
            <w:r>
              <w:rPr>
                <w:rFonts w:hint="default" w:ascii="Times New Roman" w:hAnsi="Times New Roman" w:eastAsia="仿宋_GB2312" w:cs="Times New Roman"/>
                <w:sz w:val="22"/>
                <w:szCs w:val="20"/>
                <w:lang w:eastAsia="zh-CN"/>
              </w:rPr>
              <w:t>职工</w:t>
            </w:r>
            <w:r>
              <w:rPr>
                <w:rFonts w:hint="default" w:ascii="Times New Roman" w:hAnsi="Times New Roman" w:eastAsia="仿宋_GB2312" w:cs="Times New Roman"/>
                <w:sz w:val="22"/>
                <w:szCs w:val="20"/>
              </w:rPr>
              <w:t>参加年度学法考试</w:t>
            </w:r>
            <w:r>
              <w:rPr>
                <w:rFonts w:hint="default" w:ascii="Times New Roman" w:hAnsi="Times New Roman" w:eastAsia="仿宋_GB2312" w:cs="Times New Roman"/>
                <w:sz w:val="22"/>
                <w:szCs w:val="20"/>
                <w:lang w:eastAsia="zh-CN"/>
              </w:rPr>
              <w:t>；</w:t>
            </w:r>
          </w:p>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将普法内容纳入局党组理论学习中心组以及局系统各基层党组织年度学习计划</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通过专题培训、现场宣贯活动开展上述法律法规的学习宣传。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3</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学习宣传《乡村振兴促进法》、《民法典》等有关内容</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局全体人员</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掌握和理解上述理论精神实质，增强领导干部运用法治思维和法治方式开展工作的能力。</w:t>
            </w:r>
          </w:p>
        </w:tc>
        <w:tc>
          <w:tcPr>
            <w:tcW w:w="3550"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将普法内容纳入局党组理论学习中心组以及局系统各基层党组织年度学习计划</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通过专题培训、现场宣贯活动开展上述法律法规的学习宣传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31"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序号</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单位</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普法内容</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普法对象</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普法目标</w:t>
            </w:r>
          </w:p>
        </w:tc>
        <w:tc>
          <w:tcPr>
            <w:tcW w:w="3550"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具体举措</w:t>
            </w:r>
          </w:p>
        </w:tc>
        <w:tc>
          <w:tcPr>
            <w:tcW w:w="1525" w:type="dxa"/>
            <w:vAlign w:val="center"/>
          </w:tcPr>
          <w:p>
            <w:pPr>
              <w:bidi w:val="0"/>
              <w:ind w:right="-1323" w:rightChars="-630"/>
              <w:jc w:val="both"/>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4</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outlineLvl w:val="0"/>
              <w:rPr>
                <w:rFonts w:hint="default" w:ascii="Times New Roman" w:hAnsi="Times New Roman" w:eastAsia="仿宋_GB2312" w:cs="Times New Roman"/>
                <w:b/>
                <w:kern w:val="44"/>
                <w:sz w:val="22"/>
                <w:szCs w:val="22"/>
                <w:lang w:val="en-US" w:eastAsia="zh-CN" w:bidi="ar"/>
              </w:rPr>
            </w:pPr>
            <w:r>
              <w:rPr>
                <w:rFonts w:hint="default" w:ascii="Times New Roman" w:hAnsi="Times New Roman" w:eastAsia="仿宋_GB2312" w:cs="Times New Roman"/>
                <w:b w:val="0"/>
                <w:kern w:val="2"/>
                <w:sz w:val="22"/>
                <w:szCs w:val="22"/>
                <w:lang w:val="en-US" w:eastAsia="zh-CN" w:bidi="ar-SA"/>
              </w:rPr>
              <w:t>《中国共产党</w:t>
            </w:r>
            <w:r>
              <w:rPr>
                <w:rFonts w:hint="eastAsia" w:ascii="Times New Roman" w:hAnsi="Times New Roman" w:eastAsia="仿宋_GB2312" w:cs="Times New Roman"/>
                <w:b w:val="0"/>
                <w:kern w:val="2"/>
                <w:sz w:val="22"/>
                <w:szCs w:val="22"/>
                <w:lang w:val="en-US" w:eastAsia="zh-CN" w:bidi="ar-SA"/>
              </w:rPr>
              <w:t>章程</w:t>
            </w:r>
            <w:bookmarkStart w:id="0" w:name="_GoBack"/>
            <w:bookmarkEnd w:id="0"/>
            <w:r>
              <w:rPr>
                <w:rFonts w:hint="default" w:ascii="Times New Roman" w:hAnsi="Times New Roman" w:eastAsia="仿宋_GB2312" w:cs="Times New Roman"/>
                <w:b w:val="0"/>
                <w:kern w:val="2"/>
                <w:sz w:val="22"/>
                <w:szCs w:val="22"/>
                <w:lang w:val="en-US" w:eastAsia="zh-CN" w:bidi="ar-SA"/>
              </w:rPr>
              <w:t>》、《中国共产党廉洁自律准则》、《中国共产党党徽党旗条例》等党内法规</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w:t>
            </w:r>
            <w:r>
              <w:rPr>
                <w:rFonts w:hint="default" w:ascii="Times New Roman" w:hAnsi="Times New Roman" w:eastAsia="仿宋_GB2312" w:cs="Times New Roman"/>
                <w:sz w:val="22"/>
                <w:szCs w:val="22"/>
                <w:lang w:val="en-US" w:eastAsia="zh-CN"/>
              </w:rPr>
              <w:t>全体</w:t>
            </w:r>
            <w:r>
              <w:rPr>
                <w:rFonts w:hint="default" w:ascii="Times New Roman" w:hAnsi="Times New Roman" w:eastAsia="仿宋_GB2312" w:cs="Times New Roman"/>
                <w:sz w:val="22"/>
                <w:szCs w:val="22"/>
              </w:rPr>
              <w:t>人员</w:t>
            </w:r>
          </w:p>
        </w:tc>
        <w:tc>
          <w:tcPr>
            <w:tcW w:w="2025" w:type="dxa"/>
            <w:vAlign w:val="center"/>
          </w:tcPr>
          <w:p>
            <w:pPr>
              <w:bidi w:val="0"/>
              <w:rPr>
                <w:rFonts w:hint="default" w:ascii="Times New Roman" w:hAnsi="Times New Roman" w:eastAsia="仿宋_GB2312" w:cs="Times New Roman"/>
                <w:color w:val="FF0000"/>
                <w:kern w:val="2"/>
                <w:sz w:val="22"/>
                <w:szCs w:val="22"/>
                <w:lang w:val="en-US" w:eastAsia="zh-CN" w:bidi="ar-SA"/>
              </w:rPr>
            </w:pPr>
            <w:r>
              <w:rPr>
                <w:rFonts w:hint="default" w:ascii="Times New Roman" w:hAnsi="Times New Roman" w:eastAsia="仿宋_GB2312" w:cs="Times New Roman"/>
                <w:b w:val="0"/>
                <w:kern w:val="2"/>
                <w:sz w:val="22"/>
                <w:szCs w:val="22"/>
                <w:lang w:val="en-US" w:eastAsia="zh-CN" w:bidi="ar-SA"/>
              </w:rPr>
              <w:t>进一步深入学习贯彻党章党纪党规，提升全体党员干部党性修养，并以违纪违法警示案例为教材，进一步严肃政治纪律和政治规矩，筑牢拒腐防变的思想根基。</w:t>
            </w:r>
          </w:p>
        </w:tc>
        <w:tc>
          <w:tcPr>
            <w:tcW w:w="3550" w:type="dxa"/>
            <w:vAlign w:val="center"/>
          </w:tcPr>
          <w:p>
            <w:pPr>
              <w:bidi w:val="0"/>
              <w:rPr>
                <w:rFonts w:hint="default" w:ascii="Times New Roman" w:hAnsi="Times New Roman" w:eastAsia="仿宋_GB2312" w:cs="Times New Roman"/>
                <w:color w:val="FF0000"/>
                <w:kern w:val="2"/>
                <w:sz w:val="22"/>
                <w:szCs w:val="22"/>
                <w:lang w:val="en-US" w:eastAsia="zh-CN" w:bidi="ar-SA"/>
              </w:rPr>
            </w:pPr>
            <w:r>
              <w:rPr>
                <w:rFonts w:hint="default" w:ascii="Times New Roman" w:hAnsi="Times New Roman" w:eastAsia="仿宋_GB2312" w:cs="Times New Roman"/>
                <w:color w:val="auto"/>
                <w:sz w:val="22"/>
                <w:szCs w:val="20"/>
                <w:lang w:val="en-US" w:eastAsia="zh-CN"/>
              </w:rPr>
              <w:t>通过</w:t>
            </w:r>
            <w:r>
              <w:rPr>
                <w:rFonts w:hint="default" w:ascii="Times New Roman" w:hAnsi="Times New Roman" w:eastAsia="仿宋_GB2312" w:cs="Times New Roman"/>
                <w:i w:val="0"/>
                <w:iCs w:val="0"/>
                <w:color w:val="000000"/>
                <w:kern w:val="0"/>
                <w:sz w:val="22"/>
                <w:szCs w:val="22"/>
                <w:u w:val="none"/>
                <w:lang w:val="en-US" w:eastAsia="zh-CN" w:bidi="ar"/>
              </w:rPr>
              <w:t>党组理论学习、三会一课、主题党日活动、党史学习教育形成常态化机制，并通过开展知识竞赛的形式检验学习成果。</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党建股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5</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深入学习宣传宪法、国家安全法律、中国特色社会主义法律体系等有关内容</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局全体人员</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弘扬宪法精神，维护宪法尊严，增强宪法权威增强局系统工作人员依法履职能力。</w:t>
            </w:r>
          </w:p>
        </w:tc>
        <w:tc>
          <w:tcPr>
            <w:tcW w:w="3550"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通过举办专题法律讲座、</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4·15</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国家安全日、</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12· 4</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国家宪法日等主题宣传活动开展普法宣传，落实年度述法制度等。</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6</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w:t>
            </w:r>
            <w:r>
              <w:rPr>
                <w:rFonts w:hint="default" w:ascii="Times New Roman" w:hAnsi="Times New Roman" w:eastAsia="仿宋_GB2312" w:cs="Times New Roman"/>
                <w:color w:val="auto"/>
                <w:sz w:val="22"/>
                <w:szCs w:val="22"/>
              </w:rPr>
              <w:t>宣传《</w:t>
            </w:r>
            <w:r>
              <w:rPr>
                <w:rFonts w:hint="default" w:ascii="Times New Roman" w:hAnsi="Times New Roman" w:eastAsia="仿宋_GB2312" w:cs="Times New Roman"/>
                <w:color w:val="auto"/>
                <w:sz w:val="22"/>
                <w:szCs w:val="22"/>
                <w:lang w:val="en-US" w:eastAsia="zh-CN"/>
              </w:rPr>
              <w:t>中华人民共和国保险法</w:t>
            </w:r>
            <w:r>
              <w:rPr>
                <w:rFonts w:hint="default" w:ascii="Times New Roman" w:hAnsi="Times New Roman" w:eastAsia="仿宋_GB2312" w:cs="Times New Roman"/>
                <w:color w:val="auto"/>
                <w:sz w:val="22"/>
                <w:szCs w:val="22"/>
              </w:rPr>
              <w:t>》等</w:t>
            </w:r>
            <w:r>
              <w:rPr>
                <w:rFonts w:hint="default" w:ascii="Times New Roman" w:hAnsi="Times New Roman" w:eastAsia="仿宋_GB2312" w:cs="Times New Roman"/>
                <w:color w:val="auto"/>
                <w:sz w:val="22"/>
                <w:szCs w:val="22"/>
                <w:lang w:val="en-US" w:eastAsia="zh-CN"/>
              </w:rPr>
              <w:t>农业保险</w:t>
            </w:r>
            <w:r>
              <w:rPr>
                <w:rFonts w:hint="default" w:ascii="Times New Roman" w:hAnsi="Times New Roman" w:eastAsia="仿宋_GB2312" w:cs="Times New Roman"/>
                <w:color w:val="auto"/>
                <w:sz w:val="22"/>
                <w:szCs w:val="22"/>
              </w:rPr>
              <w:t>领域的法律法规</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w:t>
            </w:r>
            <w:r>
              <w:rPr>
                <w:rFonts w:hint="default" w:ascii="Times New Roman" w:hAnsi="Times New Roman" w:eastAsia="仿宋_GB2312" w:cs="Times New Roman"/>
                <w:sz w:val="22"/>
                <w:szCs w:val="22"/>
                <w:lang w:eastAsia="zh-CN"/>
              </w:rPr>
              <w:t>相关</w:t>
            </w:r>
            <w:r>
              <w:rPr>
                <w:rFonts w:hint="default" w:ascii="Times New Roman" w:hAnsi="Times New Roman" w:eastAsia="仿宋_GB2312" w:cs="Times New Roman"/>
                <w:sz w:val="22"/>
                <w:szCs w:val="22"/>
              </w:rPr>
              <w:t>工作人员、各</w:t>
            </w:r>
            <w:r>
              <w:rPr>
                <w:rFonts w:hint="default" w:ascii="Times New Roman" w:hAnsi="Times New Roman" w:eastAsia="仿宋_GB2312" w:cs="Times New Roman"/>
                <w:sz w:val="22"/>
                <w:szCs w:val="22"/>
                <w:lang w:eastAsia="zh-CN"/>
              </w:rPr>
              <w:t>乡镇街道</w:t>
            </w:r>
            <w:r>
              <w:rPr>
                <w:rFonts w:hint="default" w:ascii="Times New Roman" w:hAnsi="Times New Roman" w:eastAsia="仿宋_GB2312" w:cs="Times New Roman"/>
                <w:sz w:val="22"/>
                <w:szCs w:val="22"/>
              </w:rPr>
              <w:t>农业部门工作人员、广大社会群众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增强工作人员依法履职能力，提高社会公众对相关法律法规的知晓度。</w:t>
            </w:r>
          </w:p>
        </w:tc>
        <w:tc>
          <w:tcPr>
            <w:tcW w:w="3550"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序号</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单位</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普法内容</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普法对象</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普法目标</w:t>
            </w:r>
          </w:p>
        </w:tc>
        <w:tc>
          <w:tcPr>
            <w:tcW w:w="3550"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具体举措</w:t>
            </w:r>
          </w:p>
        </w:tc>
        <w:tc>
          <w:tcPr>
            <w:tcW w:w="1525" w:type="dxa"/>
            <w:vAlign w:val="center"/>
          </w:tcPr>
          <w:p>
            <w:pPr>
              <w:bidi w:val="0"/>
              <w:ind w:right="-1323" w:rightChars="-630"/>
              <w:jc w:val="both"/>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7</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学习宣传《中华人民共和国农业法》、《农业行政处罚程序规定》等法律法规</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w:t>
            </w:r>
            <w:r>
              <w:rPr>
                <w:rFonts w:hint="default" w:ascii="Times New Roman" w:hAnsi="Times New Roman" w:eastAsia="仿宋_GB2312" w:cs="Times New Roman"/>
                <w:sz w:val="22"/>
                <w:szCs w:val="22"/>
                <w:lang w:eastAsia="zh-CN"/>
              </w:rPr>
              <w:t>相关</w:t>
            </w:r>
            <w:r>
              <w:rPr>
                <w:rFonts w:hint="default" w:ascii="Times New Roman" w:hAnsi="Times New Roman" w:eastAsia="仿宋_GB2312" w:cs="Times New Roman"/>
                <w:sz w:val="22"/>
                <w:szCs w:val="22"/>
              </w:rPr>
              <w:t>工作人员、广大农民群众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eastAsia="zh-CN"/>
              </w:rPr>
              <w:t>提升全局工作人员对相关法律法规的掌握能力，增强法治理念，提高依法行政意识，</w:t>
            </w:r>
            <w:r>
              <w:rPr>
                <w:rFonts w:hint="default" w:ascii="Times New Roman" w:hAnsi="Times New Roman" w:eastAsia="仿宋_GB2312" w:cs="Times New Roman"/>
                <w:sz w:val="22"/>
                <w:szCs w:val="20"/>
                <w:lang w:val="en-US" w:eastAsia="zh-CN"/>
              </w:rPr>
              <w:t>提高</w:t>
            </w:r>
            <w:r>
              <w:rPr>
                <w:rFonts w:hint="default" w:ascii="Times New Roman" w:hAnsi="Times New Roman" w:eastAsia="仿宋_GB2312" w:cs="Times New Roman"/>
                <w:sz w:val="22"/>
                <w:szCs w:val="20"/>
                <w:lang w:eastAsia="zh-CN"/>
              </w:rPr>
              <w:t>群众知晓率、参与率，推动形成尊法学法守法用法的浓厚氛围，进一步推进各项工作依法规范和管理。</w:t>
            </w:r>
          </w:p>
        </w:tc>
        <w:tc>
          <w:tcPr>
            <w:tcW w:w="3550"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法规股、执法队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8</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学习宣传《中华人民共和国农村土地承包法》、《中华人民共和国农村土地承包经营纠纷调解仲裁法》等法律法规</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w:t>
            </w:r>
            <w:r>
              <w:rPr>
                <w:rFonts w:hint="default" w:ascii="Times New Roman" w:hAnsi="Times New Roman" w:eastAsia="仿宋_GB2312" w:cs="Times New Roman"/>
                <w:sz w:val="22"/>
                <w:szCs w:val="22"/>
                <w:lang w:eastAsia="zh-CN"/>
              </w:rPr>
              <w:t>相关</w:t>
            </w:r>
            <w:r>
              <w:rPr>
                <w:rFonts w:hint="default" w:ascii="Times New Roman" w:hAnsi="Times New Roman" w:eastAsia="仿宋_GB2312" w:cs="Times New Roman"/>
                <w:sz w:val="22"/>
                <w:szCs w:val="22"/>
              </w:rPr>
              <w:t>工作人员、各</w:t>
            </w:r>
            <w:r>
              <w:rPr>
                <w:rFonts w:hint="default" w:ascii="Times New Roman" w:hAnsi="Times New Roman" w:eastAsia="仿宋_GB2312" w:cs="Times New Roman"/>
                <w:sz w:val="22"/>
                <w:szCs w:val="22"/>
                <w:lang w:eastAsia="zh-CN"/>
              </w:rPr>
              <w:t>乡镇街道</w:t>
            </w:r>
            <w:r>
              <w:rPr>
                <w:rFonts w:hint="default" w:ascii="Times New Roman" w:hAnsi="Times New Roman" w:eastAsia="仿宋_GB2312" w:cs="Times New Roman"/>
                <w:sz w:val="22"/>
                <w:szCs w:val="22"/>
              </w:rPr>
              <w:t>农业部门工作人员、广大农民群众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eastAsia="zh-CN"/>
              </w:rPr>
              <w:t>提升全局工作人员对相关法律法规的掌握能力，增强法治理念，提高依法行政意识，</w:t>
            </w:r>
            <w:r>
              <w:rPr>
                <w:rFonts w:hint="default" w:ascii="Times New Roman" w:hAnsi="Times New Roman" w:eastAsia="仿宋_GB2312" w:cs="Times New Roman"/>
                <w:sz w:val="22"/>
                <w:szCs w:val="20"/>
                <w:lang w:val="en-US" w:eastAsia="zh-CN"/>
              </w:rPr>
              <w:t>提高</w:t>
            </w:r>
            <w:r>
              <w:rPr>
                <w:rFonts w:hint="default" w:ascii="Times New Roman" w:hAnsi="Times New Roman" w:eastAsia="仿宋_GB2312" w:cs="Times New Roman"/>
                <w:sz w:val="22"/>
                <w:szCs w:val="20"/>
                <w:lang w:eastAsia="zh-CN"/>
              </w:rPr>
              <w:t>群众知晓率、参与率，推动形成尊法学法守法用法的浓厚氛围，进一步推进各项工作依法规范和管理。</w:t>
            </w:r>
          </w:p>
        </w:tc>
        <w:tc>
          <w:tcPr>
            <w:tcW w:w="3550" w:type="dxa"/>
            <w:vAlign w:val="center"/>
          </w:tcPr>
          <w:p>
            <w:pPr>
              <w:bidi w:val="0"/>
              <w:rPr>
                <w:rFonts w:hint="default" w:ascii="Times New Roman" w:hAnsi="Times New Roman" w:eastAsia="仿宋_GB2312" w:cs="Times New Roman"/>
                <w:sz w:val="22"/>
                <w:szCs w:val="20"/>
                <w:lang w:val="en-US" w:eastAsia="zh-CN"/>
              </w:rPr>
            </w:pPr>
            <w:r>
              <w:rPr>
                <w:rFonts w:hint="default" w:ascii="Times New Roman" w:hAnsi="Times New Roman" w:eastAsia="仿宋_GB2312" w:cs="Times New Roman"/>
                <w:sz w:val="22"/>
                <w:szCs w:val="20"/>
                <w:lang w:val="en-US" w:eastAsia="zh-CN"/>
              </w:rPr>
              <w:t>1.结合下乡开展工作时机进行普法宣传;</w:t>
            </w:r>
          </w:p>
          <w:p>
            <w:pPr>
              <w:bidi w:val="0"/>
              <w:rPr>
                <w:rFonts w:hint="default" w:ascii="Times New Roman" w:hAnsi="Times New Roman" w:eastAsia="仿宋_GB2312" w:cs="Times New Roman"/>
                <w:sz w:val="22"/>
                <w:szCs w:val="20"/>
                <w:lang w:val="en-US" w:eastAsia="zh-CN"/>
              </w:rPr>
            </w:pPr>
            <w:r>
              <w:rPr>
                <w:rFonts w:hint="default" w:ascii="Times New Roman" w:hAnsi="Times New Roman" w:eastAsia="仿宋_GB2312" w:cs="Times New Roman"/>
                <w:sz w:val="22"/>
                <w:szCs w:val="20"/>
                <w:lang w:val="en-US" w:eastAsia="zh-CN"/>
              </w:rPr>
              <w:t>2.通过网站、网页等进行普法宣传；</w:t>
            </w:r>
          </w:p>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val="en-US" w:eastAsia="zh-CN"/>
              </w:rPr>
              <w:t>3.发放宣传单进行普法宣传。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法规股、乡村产业发展股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31"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序号</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单位</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普法内容</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普法对象</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普法目标</w:t>
            </w:r>
          </w:p>
        </w:tc>
        <w:tc>
          <w:tcPr>
            <w:tcW w:w="3550"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具体举措</w:t>
            </w:r>
          </w:p>
        </w:tc>
        <w:tc>
          <w:tcPr>
            <w:tcW w:w="1525" w:type="dxa"/>
            <w:vAlign w:val="center"/>
          </w:tcPr>
          <w:p>
            <w:pPr>
              <w:bidi w:val="0"/>
              <w:ind w:right="-1323" w:rightChars="-630"/>
              <w:jc w:val="both"/>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9</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学习宣传《中华人民共和国渔业法》</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《中华人民共和国长江保护法》</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局执法人员、广大社会群众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eastAsia="zh-CN"/>
              </w:rPr>
              <w:t>提升全局工作人员对相关法律法规的掌握能力，增强法治理念，提高依法行政意识，</w:t>
            </w:r>
            <w:r>
              <w:rPr>
                <w:rFonts w:hint="default" w:ascii="Times New Roman" w:hAnsi="Times New Roman" w:eastAsia="仿宋_GB2312" w:cs="Times New Roman"/>
                <w:sz w:val="22"/>
                <w:szCs w:val="20"/>
                <w:lang w:val="en-US" w:eastAsia="zh-CN"/>
              </w:rPr>
              <w:t>提高</w:t>
            </w:r>
            <w:r>
              <w:rPr>
                <w:rFonts w:hint="default" w:ascii="Times New Roman" w:hAnsi="Times New Roman" w:eastAsia="仿宋_GB2312" w:cs="Times New Roman"/>
                <w:sz w:val="22"/>
                <w:szCs w:val="20"/>
                <w:lang w:eastAsia="zh-CN"/>
              </w:rPr>
              <w:t>群众知晓率、参与率，推动形成尊法学法守法用法的浓厚氛围，进一步推进各项工作依法规范和管理。</w:t>
            </w:r>
          </w:p>
        </w:tc>
        <w:tc>
          <w:tcPr>
            <w:tcW w:w="3550" w:type="dxa"/>
            <w:vAlign w:val="center"/>
          </w:tcPr>
          <w:p>
            <w:pPr>
              <w:bidi w:val="0"/>
              <w:rPr>
                <w:rFonts w:hint="default" w:ascii="Times New Roman" w:hAnsi="Times New Roman" w:eastAsia="仿宋_GB2312" w:cs="Times New Roman"/>
                <w:sz w:val="22"/>
                <w:szCs w:val="20"/>
                <w:lang w:val="en-US" w:eastAsia="zh-CN"/>
              </w:rPr>
            </w:pPr>
            <w:r>
              <w:rPr>
                <w:rFonts w:hint="default" w:ascii="Times New Roman" w:hAnsi="Times New Roman" w:eastAsia="仿宋_GB2312" w:cs="Times New Roman"/>
                <w:sz w:val="22"/>
                <w:szCs w:val="20"/>
                <w:lang w:val="en-US" w:eastAsia="zh-CN"/>
              </w:rPr>
              <w:t>1.结合下乡开展工作时机进行普法宣传；</w:t>
            </w:r>
          </w:p>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val="en-US" w:eastAsia="zh-CN"/>
              </w:rPr>
              <w:t>2.</w:t>
            </w:r>
            <w:r>
              <w:rPr>
                <w:rFonts w:hint="default" w:ascii="Times New Roman" w:hAnsi="Times New Roman" w:eastAsia="仿宋_GB2312" w:cs="Times New Roman"/>
                <w:sz w:val="22"/>
                <w:szCs w:val="22"/>
                <w:lang w:val="en-US"/>
              </w:rPr>
              <w:t>通过专题培训、现场宣贯活动、借助媒体宣传报道等方式，开展上述法律法规的学习宣传。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10</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学习宣传《基本农田保护条例》等农田建设方面的法律法规</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局有关工作人员、广大社会群众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eastAsia="zh-CN"/>
              </w:rPr>
              <w:t>提升全局工作人员对相关法律法规的掌握能力，增强法治理念，提高依法行政意识，</w:t>
            </w:r>
            <w:r>
              <w:rPr>
                <w:rFonts w:hint="default" w:ascii="Times New Roman" w:hAnsi="Times New Roman" w:eastAsia="仿宋_GB2312" w:cs="Times New Roman"/>
                <w:sz w:val="22"/>
                <w:szCs w:val="20"/>
                <w:lang w:val="en-US" w:eastAsia="zh-CN"/>
              </w:rPr>
              <w:t>提高</w:t>
            </w:r>
            <w:r>
              <w:rPr>
                <w:rFonts w:hint="default" w:ascii="Times New Roman" w:hAnsi="Times New Roman" w:eastAsia="仿宋_GB2312" w:cs="Times New Roman"/>
                <w:sz w:val="22"/>
                <w:szCs w:val="20"/>
                <w:lang w:eastAsia="zh-CN"/>
              </w:rPr>
              <w:t>群众知晓率、参与率，推动形成尊法学法守法用法的浓厚氛围，进一步推进各项工作依法规范和管理。</w:t>
            </w:r>
          </w:p>
        </w:tc>
        <w:tc>
          <w:tcPr>
            <w:tcW w:w="3550" w:type="dxa"/>
            <w:vAlign w:val="center"/>
          </w:tcPr>
          <w:p>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0"/>
                <w:lang w:val="en-US" w:eastAsia="zh-CN"/>
              </w:rPr>
              <w:t>结合下乡开展工作时机进行普法宣传；</w:t>
            </w:r>
          </w:p>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color w:val="auto"/>
                <w:sz w:val="22"/>
                <w:szCs w:val="22"/>
              </w:rPr>
              <w:t>农田建设</w:t>
            </w:r>
            <w:r>
              <w:rPr>
                <w:rFonts w:hint="default" w:ascii="Times New Roman" w:hAnsi="Times New Roman" w:eastAsia="仿宋_GB2312" w:cs="Times New Roman"/>
                <w:color w:val="auto"/>
                <w:sz w:val="22"/>
                <w:szCs w:val="22"/>
                <w:lang w:val="en-US" w:eastAsia="zh-CN"/>
              </w:rPr>
              <w:t>与农垦股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31"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序号</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单位</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普法内容</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普法对象</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普法目标</w:t>
            </w:r>
          </w:p>
        </w:tc>
        <w:tc>
          <w:tcPr>
            <w:tcW w:w="3550"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具体举措</w:t>
            </w:r>
          </w:p>
        </w:tc>
        <w:tc>
          <w:tcPr>
            <w:tcW w:w="1525" w:type="dxa"/>
            <w:vAlign w:val="center"/>
          </w:tcPr>
          <w:p>
            <w:pPr>
              <w:bidi w:val="0"/>
              <w:ind w:right="-1323" w:rightChars="-630"/>
              <w:jc w:val="both"/>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11</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学习宣传《中华人民共和国安全生产法》</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局有关工作人员、广大社会群众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eastAsia="zh-CN"/>
              </w:rPr>
              <w:t>提升全局工作人员对相关法律法规的掌握能力，提升全局工作人员对相关法律法规的掌握能力，增强法治理念，提高依法行政意识，</w:t>
            </w:r>
            <w:r>
              <w:rPr>
                <w:rFonts w:hint="default" w:ascii="Times New Roman" w:hAnsi="Times New Roman" w:eastAsia="仿宋_GB2312" w:cs="Times New Roman"/>
                <w:sz w:val="22"/>
                <w:szCs w:val="20"/>
                <w:lang w:val="en-US" w:eastAsia="zh-CN"/>
              </w:rPr>
              <w:t>提高</w:t>
            </w:r>
            <w:r>
              <w:rPr>
                <w:rFonts w:hint="default" w:ascii="Times New Roman" w:hAnsi="Times New Roman" w:eastAsia="仿宋_GB2312" w:cs="Times New Roman"/>
                <w:sz w:val="22"/>
                <w:szCs w:val="20"/>
                <w:lang w:eastAsia="zh-CN"/>
              </w:rPr>
              <w:t>群众知晓率、参与率，推动形成尊法学法守法用法的浓厚氛围，进一步推进各项工作依法规范和管理。</w:t>
            </w:r>
          </w:p>
        </w:tc>
        <w:tc>
          <w:tcPr>
            <w:tcW w:w="3550" w:type="dxa"/>
            <w:vAlign w:val="center"/>
          </w:tcPr>
          <w:p>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0"/>
                <w:lang w:val="en-US" w:eastAsia="zh-CN"/>
              </w:rPr>
              <w:t>结合下乡开展工作时机进行普法宣传；</w:t>
            </w:r>
          </w:p>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12</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学习宣传《中华人民共和国农产品质量安全法》、《中华人民共和国食品安全法》等农产品质量安全监管领域所涉的法律法规</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局有关人员、广大社会群众</w:t>
            </w:r>
          </w:p>
        </w:tc>
        <w:tc>
          <w:tcPr>
            <w:tcW w:w="2025" w:type="dxa"/>
            <w:vAlign w:val="center"/>
          </w:tcPr>
          <w:p>
            <w:pPr>
              <w:bidi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0"/>
                <w:lang w:eastAsia="zh-CN"/>
              </w:rPr>
              <w:t>提升全局工作人员对相关法律法规的掌握能力，提升全局工作人员对相关法律法规的掌握能力，增强法治理念，提高依法行政意识，</w:t>
            </w:r>
            <w:r>
              <w:rPr>
                <w:rFonts w:hint="default" w:ascii="Times New Roman" w:hAnsi="Times New Roman" w:eastAsia="仿宋_GB2312" w:cs="Times New Roman"/>
                <w:sz w:val="22"/>
                <w:szCs w:val="22"/>
              </w:rPr>
              <w:t>提高社会公众对相关法律法规的知晓度。</w:t>
            </w:r>
          </w:p>
        </w:tc>
        <w:tc>
          <w:tcPr>
            <w:tcW w:w="3550" w:type="dxa"/>
            <w:vAlign w:val="center"/>
          </w:tcPr>
          <w:p>
            <w:pPr>
              <w:bidi w:val="0"/>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2"/>
              </w:rPr>
              <w:t>通过专题培训、现场宣贯活动、借助媒体宣传报道等方式，开展上述法律法规的学习宣传</w:t>
            </w:r>
            <w:r>
              <w:rPr>
                <w:rFonts w:hint="default" w:ascii="Times New Roman" w:hAnsi="Times New Roman" w:eastAsia="仿宋_GB2312" w:cs="Times New Roman"/>
                <w:sz w:val="22"/>
                <w:szCs w:val="22"/>
                <w:lang w:eastAsia="zh-CN"/>
              </w:rPr>
              <w:t>；</w:t>
            </w:r>
          </w:p>
          <w:p>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0"/>
                <w:lang w:val="en-US" w:eastAsia="zh-CN"/>
              </w:rPr>
              <w:t>结合下乡开展工作时机进行普法宣传。</w:t>
            </w:r>
          </w:p>
          <w:p>
            <w:pPr>
              <w:bidi w:val="0"/>
              <w:rPr>
                <w:rFonts w:hint="default" w:ascii="Times New Roman" w:hAnsi="Times New Roman" w:eastAsia="仿宋_GB2312" w:cs="Times New Roman"/>
                <w:kern w:val="2"/>
                <w:sz w:val="22"/>
                <w:szCs w:val="22"/>
                <w:lang w:val="en-US" w:eastAsia="zh-CN" w:bidi="ar-SA"/>
              </w:rPr>
            </w:pP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农产品质量安全监</w:t>
            </w:r>
            <w:r>
              <w:rPr>
                <w:rFonts w:hint="default" w:ascii="Times New Roman" w:hAnsi="Times New Roman" w:eastAsia="仿宋_GB2312" w:cs="Times New Roman"/>
                <w:sz w:val="22"/>
                <w:szCs w:val="22"/>
                <w:lang w:val="en-US" w:eastAsia="zh-CN"/>
              </w:rPr>
              <w:t>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31"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序号</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单位</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普法内容</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普法对象</w:t>
            </w:r>
          </w:p>
        </w:tc>
        <w:tc>
          <w:tcPr>
            <w:tcW w:w="2025"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普法目标</w:t>
            </w:r>
          </w:p>
        </w:tc>
        <w:tc>
          <w:tcPr>
            <w:tcW w:w="3550" w:type="dxa"/>
            <w:vAlign w:val="center"/>
          </w:tcPr>
          <w:p>
            <w:pPr>
              <w:bidi w:val="0"/>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具体举措</w:t>
            </w:r>
          </w:p>
        </w:tc>
        <w:tc>
          <w:tcPr>
            <w:tcW w:w="1525" w:type="dxa"/>
            <w:vAlign w:val="center"/>
          </w:tcPr>
          <w:p>
            <w:pPr>
              <w:bidi w:val="0"/>
              <w:ind w:right="-1323" w:rightChars="-630"/>
              <w:jc w:val="both"/>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13</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学习宣传《中华人民共和国种子法》、《中华人民共和国植物新品种保护条例》、《植物检疫条例》、《农药管理条例》、《肥料登记管理办法》</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等种植业方面的法律法规</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局执法人员、各</w:t>
            </w:r>
            <w:r>
              <w:rPr>
                <w:rFonts w:hint="default" w:ascii="Times New Roman" w:hAnsi="Times New Roman" w:eastAsia="仿宋_GB2312" w:cs="Times New Roman"/>
                <w:sz w:val="22"/>
                <w:szCs w:val="22"/>
                <w:lang w:eastAsia="zh-CN"/>
              </w:rPr>
              <w:t>乡镇街道</w:t>
            </w:r>
            <w:r>
              <w:rPr>
                <w:rFonts w:hint="default" w:ascii="Times New Roman" w:hAnsi="Times New Roman" w:eastAsia="仿宋_GB2312" w:cs="Times New Roman"/>
                <w:sz w:val="22"/>
                <w:szCs w:val="22"/>
              </w:rPr>
              <w:t>农业部门工作人员、广大农民群众、从事种植业方面的生产经营者</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增强执法人员依法履职能力，提高社会公众对相关法律法规的知晓度，营造种植业领域守法生产、经营的社会氛围。</w:t>
            </w:r>
          </w:p>
        </w:tc>
        <w:tc>
          <w:tcPr>
            <w:tcW w:w="355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0"/>
                <w:lang w:val="en-US" w:eastAsia="zh-CN"/>
              </w:rPr>
              <w:t>结合下乡开展工作时机进行普法宣传</w:t>
            </w:r>
            <w:r>
              <w:rPr>
                <w:rFonts w:hint="default" w:ascii="Times New Roman" w:hAnsi="Times New Roman" w:eastAsia="仿宋_GB2312" w:cs="Times New Roman"/>
                <w:sz w:val="22"/>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农业技术推广中心、执法队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1</w:t>
            </w:r>
            <w:r>
              <w:rPr>
                <w:rFonts w:hint="default" w:ascii="Times New Roman" w:hAnsi="Times New Roman" w:eastAsia="仿宋_GB2312" w:cs="Times New Roman"/>
                <w:sz w:val="22"/>
                <w:szCs w:val="22"/>
                <w:lang w:val="en-US" w:eastAsia="zh-CN"/>
              </w:rPr>
              <w:t>4</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学习宣传《中华人民共和国畜牧法》、《种畜禽管理条例》、《中华人民共和国动物防疫法》、《重大动物疫情应急条例》、</w:t>
            </w:r>
            <w:r>
              <w:rPr>
                <w:rFonts w:hint="default" w:ascii="Times New Roman" w:hAnsi="Times New Roman" w:eastAsia="仿宋_GB2312" w:cs="Times New Roman"/>
                <w:sz w:val="22"/>
                <w:szCs w:val="22"/>
                <w:lang w:eastAsia="zh-CN"/>
              </w:rPr>
              <w:t>《病死动物无害化处理技术规范》</w:t>
            </w:r>
            <w:r>
              <w:rPr>
                <w:rFonts w:hint="default" w:ascii="Times New Roman" w:hAnsi="Times New Roman" w:eastAsia="仿宋_GB2312" w:cs="Times New Roman"/>
                <w:sz w:val="22"/>
                <w:szCs w:val="22"/>
              </w:rPr>
              <w:t>《饲料和饲料添加剂管理条例》、《兽药管理条例》</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《生猪屠宰管理条例》</w:t>
            </w:r>
            <w:r>
              <w:rPr>
                <w:rFonts w:hint="default" w:ascii="Times New Roman" w:hAnsi="Times New Roman" w:eastAsia="仿宋_GB2312" w:cs="Times New Roman"/>
                <w:sz w:val="22"/>
                <w:szCs w:val="22"/>
                <w:lang w:eastAsia="zh-CN"/>
              </w:rPr>
              <w:t>、《动物防疫条件审查办法》</w:t>
            </w:r>
            <w:r>
              <w:rPr>
                <w:rFonts w:hint="default" w:ascii="Times New Roman" w:hAnsi="Times New Roman" w:eastAsia="仿宋_GB2312" w:cs="Times New Roman"/>
                <w:sz w:val="22"/>
                <w:szCs w:val="22"/>
              </w:rPr>
              <w:t>等法律法规</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局有关人员、各</w:t>
            </w:r>
            <w:r>
              <w:rPr>
                <w:rFonts w:hint="default" w:ascii="Times New Roman" w:hAnsi="Times New Roman" w:eastAsia="仿宋_GB2312" w:cs="Times New Roman"/>
                <w:sz w:val="22"/>
                <w:szCs w:val="22"/>
                <w:lang w:eastAsia="zh-CN"/>
              </w:rPr>
              <w:t>乡镇街道</w:t>
            </w:r>
            <w:r>
              <w:rPr>
                <w:rFonts w:hint="default" w:ascii="Times New Roman" w:hAnsi="Times New Roman" w:eastAsia="仿宋_GB2312" w:cs="Times New Roman"/>
                <w:sz w:val="22"/>
                <w:szCs w:val="22"/>
              </w:rPr>
              <w:t>农业部门工作人员、广大农民群众、从事畜牧业方面的生产经营者</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增强执法人员依法履职能力，提高社会公众对相关法律法规的知晓度，营造畜牧业领域守法生产、经营的社会氛围。</w:t>
            </w:r>
          </w:p>
        </w:tc>
        <w:tc>
          <w:tcPr>
            <w:tcW w:w="35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0"/>
                <w:lang w:val="en-US" w:eastAsia="zh-CN"/>
              </w:rPr>
              <w:t>结合下乡开展工作时机进行普法宣传；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畜牧</w:t>
            </w:r>
            <w:r>
              <w:rPr>
                <w:rFonts w:hint="default" w:ascii="Times New Roman" w:hAnsi="Times New Roman" w:eastAsia="仿宋_GB2312" w:cs="Times New Roman"/>
                <w:sz w:val="22"/>
                <w:szCs w:val="22"/>
                <w:lang w:val="en-US" w:eastAsia="zh-CN"/>
              </w:rPr>
              <w:t>水产事务中心、</w:t>
            </w:r>
            <w:r>
              <w:rPr>
                <w:rFonts w:hint="default" w:ascii="Times New Roman" w:hAnsi="Times New Roman" w:eastAsia="仿宋_GB2312" w:cs="Times New Roman"/>
                <w:sz w:val="22"/>
                <w:szCs w:val="22"/>
                <w:lang w:eastAsia="zh-CN"/>
              </w:rPr>
              <w:t>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1</w:t>
            </w:r>
            <w:r>
              <w:rPr>
                <w:rFonts w:hint="default" w:ascii="Times New Roman" w:hAnsi="Times New Roman" w:eastAsia="仿宋_GB2312" w:cs="Times New Roman"/>
                <w:sz w:val="22"/>
                <w:szCs w:val="22"/>
                <w:lang w:val="en-US" w:eastAsia="zh-CN"/>
              </w:rPr>
              <w:t>5</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醴陵市</w:t>
            </w:r>
            <w:r>
              <w:rPr>
                <w:rFonts w:hint="default" w:ascii="Times New Roman" w:hAnsi="Times New Roman" w:eastAsia="仿宋_GB2312" w:cs="Times New Roman"/>
                <w:sz w:val="22"/>
                <w:szCs w:val="22"/>
              </w:rPr>
              <w:t>农业农村局</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学习宣传《农业机械安全监督管理条例》等农业机械监管方面的法律法规</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局执法</w:t>
            </w:r>
            <w:r>
              <w:rPr>
                <w:rFonts w:hint="default" w:ascii="Times New Roman" w:hAnsi="Times New Roman" w:eastAsia="仿宋_GB2312" w:cs="Times New Roman"/>
                <w:sz w:val="22"/>
                <w:szCs w:val="22"/>
                <w:lang w:eastAsia="zh-CN"/>
              </w:rPr>
              <w:t>人员</w:t>
            </w:r>
            <w:r>
              <w:rPr>
                <w:rFonts w:hint="default" w:ascii="Times New Roman" w:hAnsi="Times New Roman" w:eastAsia="仿宋_GB2312" w:cs="Times New Roman"/>
                <w:sz w:val="22"/>
                <w:szCs w:val="22"/>
              </w:rPr>
              <w:t>、各</w:t>
            </w:r>
            <w:r>
              <w:rPr>
                <w:rFonts w:hint="default" w:ascii="Times New Roman" w:hAnsi="Times New Roman" w:eastAsia="仿宋_GB2312" w:cs="Times New Roman"/>
                <w:sz w:val="22"/>
                <w:szCs w:val="22"/>
                <w:lang w:eastAsia="zh-CN"/>
              </w:rPr>
              <w:t>乡镇街道</w:t>
            </w:r>
            <w:r>
              <w:rPr>
                <w:rFonts w:hint="default" w:ascii="Times New Roman" w:hAnsi="Times New Roman" w:eastAsia="仿宋_GB2312" w:cs="Times New Roman"/>
                <w:sz w:val="22"/>
                <w:szCs w:val="22"/>
              </w:rPr>
              <w:t>农业部门工作人员、广大社会群众</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增强执法人员依法履职能力，提高社会公众对相关法律法规的知晓度。</w:t>
            </w:r>
          </w:p>
        </w:tc>
        <w:tc>
          <w:tcPr>
            <w:tcW w:w="35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0"/>
                <w:lang w:val="en-US" w:eastAsia="zh-CN"/>
              </w:rPr>
              <w:t>结合下乡开展工作时机进行普法宣传；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通过专题培训、现场宣贯活动、借助媒体宣传报道等方式，开展上述法律法规的学习宣传。</w:t>
            </w:r>
          </w:p>
        </w:tc>
        <w:tc>
          <w:tcPr>
            <w:tcW w:w="1525" w:type="dxa"/>
            <w:vAlign w:val="center"/>
          </w:tcPr>
          <w:p>
            <w:pPr>
              <w:bidi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农机</w:t>
            </w:r>
            <w:r>
              <w:rPr>
                <w:rFonts w:hint="default" w:ascii="Times New Roman" w:hAnsi="Times New Roman" w:eastAsia="仿宋_GB2312" w:cs="Times New Roman"/>
                <w:sz w:val="22"/>
                <w:szCs w:val="22"/>
                <w:lang w:val="en-US" w:eastAsia="zh-CN"/>
              </w:rPr>
              <w:t>事务中心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EFCDF"/>
    <w:multiLevelType w:val="singleLevel"/>
    <w:tmpl w:val="D7CEFC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DFjNzQ1ZTBhYTEyMjY1ZTA1ZDZkMDI5ZTlhNWQifQ=="/>
  </w:docVars>
  <w:rsids>
    <w:rsidRoot w:val="2A376A58"/>
    <w:rsid w:val="0AE513D8"/>
    <w:rsid w:val="2A376A58"/>
    <w:rsid w:val="77FB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2023-11-22T02:15:00Z</dcterms:created>
  <dc:creator>汪婷</dc:creator>
  <cp:lastModifiedBy>敏</cp:lastModifiedBy>
  <dcterms:modified xsi:type="dcterms:W3CDTF">2023-12-25T01:26:31Z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11B7DC0D516843C096CA5805A48B41A2_13</vt:lpwstr>
  </property>
</Properties>
</file>