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600" w:lineRule="exact"/>
        <w:rPr>
          <w:rFonts w:ascii="Times New Roman" w:hAnsi="Times New Roman" w:eastAsia="楷体_GB2312"/>
          <w:bCs/>
          <w:spacing w:val="40"/>
          <w:sz w:val="32"/>
          <w:szCs w:val="32"/>
        </w:rPr>
      </w:pPr>
      <w:r>
        <w:rPr>
          <w:rFonts w:hint="eastAsia" w:ascii="Times New Roman" w:hAnsi="Times New Roman" w:eastAsia="楷体_GB2312"/>
          <w:bCs/>
          <w:spacing w:val="40"/>
          <w:sz w:val="32"/>
          <w:szCs w:val="32"/>
        </w:rPr>
        <w:t>区五届人大</w:t>
      </w:r>
    </w:p>
    <w:p>
      <w:pPr>
        <w:widowControl w:val="0"/>
        <w:spacing w:after="0" w:line="600" w:lineRule="exact"/>
        <w:rPr>
          <w:rFonts w:ascii="Times New Roman" w:hAnsi="Times New Roman" w:eastAsia="楷体_GB2312"/>
          <w:bCs/>
          <w:sz w:val="32"/>
          <w:szCs w:val="32"/>
        </w:rPr>
      </w:pPr>
      <w:r>
        <w:rPr>
          <w:rFonts w:hint="eastAsia" w:ascii="Times New Roman" w:hAnsi="Times New Roman" w:eastAsia="楷体_GB2312"/>
          <w:bCs/>
          <w:sz w:val="32"/>
          <w:szCs w:val="32"/>
        </w:rPr>
        <w:t>四次会议材料</w:t>
      </w:r>
    </w:p>
    <w:p>
      <w:pPr>
        <w:widowControl w:val="0"/>
        <w:spacing w:after="0" w:line="600" w:lineRule="exact"/>
        <w:jc w:val="center"/>
        <w:rPr>
          <w:rFonts w:ascii="Times New Roman" w:hAnsi="Times New Roman" w:eastAsia="黑体"/>
          <w:bCs/>
          <w:sz w:val="44"/>
          <w:szCs w:val="44"/>
        </w:rPr>
      </w:pPr>
    </w:p>
    <w:p>
      <w:pPr>
        <w:widowControl w:val="0"/>
        <w:overflowPunct w:val="0"/>
        <w:spacing w:after="0"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政 府 工 作 报 告</w:t>
      </w:r>
    </w:p>
    <w:p>
      <w:pPr>
        <w:widowControl w:val="0"/>
        <w:overflowPunct w:val="0"/>
        <w:spacing w:beforeLines="100" w:after="0" w:line="600" w:lineRule="exact"/>
        <w:jc w:val="center"/>
        <w:rPr>
          <w:rFonts w:ascii="Times New Roman" w:hAnsi="Times New Roman" w:eastAsia="楷体_GB2312"/>
          <w:sz w:val="32"/>
          <w:szCs w:val="32"/>
        </w:rPr>
      </w:pPr>
      <w:r>
        <w:rPr>
          <w:rFonts w:ascii="Times New Roman" w:hAnsi="Times New Roman"/>
          <w:sz w:val="32"/>
          <w:szCs w:val="32"/>
        </w:rPr>
        <w:t>——</w:t>
      </w:r>
      <w:r>
        <w:rPr>
          <w:rFonts w:ascii="Times New Roman" w:hAnsi="Times New Roman" w:eastAsia="楷体_GB2312"/>
          <w:sz w:val="32"/>
          <w:szCs w:val="32"/>
        </w:rPr>
        <w:t>2019年2月17日在株洲市荷塘区</w:t>
      </w:r>
    </w:p>
    <w:p>
      <w:pPr>
        <w:widowControl w:val="0"/>
        <w:overflowPunct w:val="0"/>
        <w:spacing w:after="0" w:line="600" w:lineRule="exact"/>
        <w:jc w:val="center"/>
        <w:rPr>
          <w:rFonts w:ascii="Times New Roman" w:hAnsi="Times New Roman" w:eastAsia="楷体_GB2312"/>
          <w:sz w:val="32"/>
          <w:szCs w:val="32"/>
        </w:rPr>
      </w:pPr>
      <w:r>
        <w:rPr>
          <w:rFonts w:ascii="Times New Roman" w:hAnsi="Times New Roman" w:eastAsia="楷体_GB2312"/>
          <w:sz w:val="32"/>
          <w:szCs w:val="32"/>
        </w:rPr>
        <w:t xml:space="preserve">    第五届人民代表大会第四次会议上</w:t>
      </w:r>
    </w:p>
    <w:p>
      <w:pPr>
        <w:widowControl w:val="0"/>
        <w:overflowPunct w:val="0"/>
        <w:spacing w:beforeLines="50" w:after="0"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区人民政府区长</w:t>
      </w:r>
      <w:r>
        <w:rPr>
          <w:rFonts w:ascii="Times New Roman" w:hAnsi="Times New Roman" w:eastAsia="楷体_GB2312"/>
          <w:sz w:val="32"/>
          <w:szCs w:val="32"/>
        </w:rPr>
        <w:t xml:space="preserve">  </w:t>
      </w:r>
      <w:r>
        <w:rPr>
          <w:rFonts w:hint="eastAsia" w:ascii="Times New Roman" w:hAnsi="Times New Roman" w:eastAsia="楷体_GB2312"/>
          <w:sz w:val="32"/>
          <w:szCs w:val="32"/>
        </w:rPr>
        <w:t>王利波</w:t>
      </w:r>
    </w:p>
    <w:p>
      <w:pPr>
        <w:widowControl w:val="0"/>
        <w:overflowPunct w:val="0"/>
        <w:spacing w:beforeLines="50" w:after="0" w:line="600" w:lineRule="exact"/>
        <w:jc w:val="center"/>
        <w:rPr>
          <w:rFonts w:ascii="Times New Roman" w:hAnsi="Times New Roman" w:eastAsia="楷体_GB2312"/>
          <w:sz w:val="32"/>
          <w:szCs w:val="32"/>
        </w:rPr>
      </w:pPr>
    </w:p>
    <w:p>
      <w:pPr>
        <w:widowControl w:val="0"/>
        <w:overflowPunct w:val="0"/>
        <w:spacing w:after="0" w:line="600" w:lineRule="exact"/>
        <w:rPr>
          <w:rFonts w:ascii="Times New Roman" w:hAnsi="Times New Roman" w:eastAsia="仿宋_GB2312"/>
          <w:sz w:val="32"/>
          <w:szCs w:val="32"/>
        </w:rPr>
      </w:pPr>
      <w:r>
        <w:rPr>
          <w:rFonts w:ascii="Times New Roman" w:hAnsi="Times New Roman" w:eastAsia="仿宋_GB2312"/>
          <w:sz w:val="32"/>
          <w:szCs w:val="32"/>
        </w:rPr>
        <w:t>各位代表：</w:t>
      </w:r>
    </w:p>
    <w:p>
      <w:pPr>
        <w:widowControl w:val="0"/>
        <w:overflowPunct w:val="0"/>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现在，我代表区人民政府向大会报告工作，请予审议，并请各位政协委员和其他列席人员提出意见。</w:t>
      </w:r>
    </w:p>
    <w:p>
      <w:pPr>
        <w:widowControl w:val="0"/>
        <w:overflowPunct w:val="0"/>
        <w:spacing w:after="0" w:line="600" w:lineRule="exact"/>
        <w:ind w:firstLine="640" w:firstLineChars="200"/>
        <w:rPr>
          <w:rFonts w:ascii="Times New Roman" w:hAnsi="Times New Roman" w:eastAsia="黑体"/>
          <w:color w:val="FF0000"/>
          <w:sz w:val="32"/>
          <w:szCs w:val="32"/>
        </w:rPr>
      </w:pPr>
      <w:r>
        <w:rPr>
          <w:rFonts w:ascii="Times New Roman" w:hAnsi="Times New Roman" w:eastAsia="黑体"/>
          <w:sz w:val="32"/>
          <w:szCs w:val="32"/>
        </w:rPr>
        <w:t>一、2018年工作回顾</w:t>
      </w:r>
    </w:p>
    <w:p>
      <w:pPr>
        <w:widowControl w:val="0"/>
        <w:overflowPunct w:val="0"/>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过去的一年，面对稳中有变的内外部发展环境，我们坚持以习近平新时代中国特色社会主义思想为指引，在市委、市政府和区委的坚强领导下，在区人大、区政协的监督支持下，牢牢把握高质量发展要求，全力以赴稳增长、促改革、调结构、惠民生、防风险，加速推进实力、活力、宜居的幸福新荷塘建设，全区经济社会发展继续保持稳中有进、稳中提质的良好态势，较好地完成了区五届人大三次会议确定的各项目标任务。</w:t>
      </w:r>
    </w:p>
    <w:p>
      <w:pPr>
        <w:widowControl w:val="0"/>
        <w:overflowPunct w:val="0"/>
        <w:spacing w:after="0" w:line="600" w:lineRule="exact"/>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这一年，我们倍感振奋的是，综合实力更强了。</w:t>
      </w:r>
      <w:r>
        <w:rPr>
          <w:rFonts w:ascii="Times New Roman" w:hAnsi="Times New Roman" w:eastAsia="仿宋_GB2312"/>
          <w:sz w:val="32"/>
          <w:szCs w:val="32"/>
        </w:rPr>
        <w:t>全区上下坚定不移把发展作为第一要务，综合施策、精准发力，经济总量和发展质量不断提升，主要经济指标增幅始终保持在全市前列，区本级可用财力历史性地实现了进位赶超。全年完成地区生产总值219.4亿元，增长8%；规模工业增加值54.5亿元，增长8%；固定资产投资168亿元，增长8.4%；社会消费品零售总额57.9亿元，增长9.9%；农业增加值3.8亿元，增长3.6%；一般公共预算收入8.6亿元，</w:t>
      </w:r>
      <w:r>
        <w:rPr>
          <w:rFonts w:hint="eastAsia" w:ascii="Times New Roman" w:hAnsi="Times New Roman" w:eastAsia="仿宋_GB2312"/>
          <w:sz w:val="32"/>
          <w:szCs w:val="32"/>
        </w:rPr>
        <w:t>同口径增长15.1%，</w:t>
      </w:r>
      <w:r>
        <w:rPr>
          <w:rFonts w:ascii="Times New Roman" w:hAnsi="Times New Roman" w:eastAsia="仿宋_GB2312"/>
          <w:sz w:val="32"/>
          <w:szCs w:val="32"/>
        </w:rPr>
        <w:t>其中税收收入完成7.97亿元，增长15.3%，税收占比达92.65%，税收增幅、税收占比均创近年新高；城乡居民收入45243元，增长7.7%。</w:t>
      </w:r>
    </w:p>
    <w:p>
      <w:pPr>
        <w:widowControl w:val="0"/>
        <w:overflowPunct w:val="0"/>
        <w:spacing w:after="0" w:line="600" w:lineRule="exact"/>
        <w:ind w:firstLine="642" w:firstLineChars="200"/>
        <w:rPr>
          <w:rFonts w:ascii="Times New Roman" w:hAnsi="Times New Roman" w:eastAsia="仿宋_GB2312"/>
          <w:sz w:val="32"/>
          <w:szCs w:val="32"/>
        </w:rPr>
      </w:pPr>
      <w:r>
        <w:rPr>
          <w:rFonts w:hint="eastAsia" w:ascii="Times New Roman" w:hAnsi="Times New Roman" w:eastAsia="楷体_GB2312"/>
          <w:b/>
          <w:bCs/>
          <w:sz w:val="32"/>
          <w:szCs w:val="32"/>
        </w:rPr>
        <w:t>这一年，我们深受鼓舞的是，发展后劲更足了。</w:t>
      </w:r>
      <w:r>
        <w:rPr>
          <w:rFonts w:ascii="Times New Roman" w:hAnsi="Times New Roman" w:eastAsia="仿宋_GB2312"/>
          <w:sz w:val="32"/>
          <w:szCs w:val="32"/>
        </w:rPr>
        <w:t>深入践行新发展理念，持之以恒夯基础、兴产业、补短板、强弱项，多年累积的产业承载、基础设施、城市配套等比较优势逐步释放。五大片区建设的框架有序展开，全域推进其时已至、其势已成；；防范化解重大风险、精准脱贫、污染防治“三大攻坚战”取得阶段性成果，牢牢守住了发展底线，全区高质量发展态势更加凸显。</w:t>
      </w:r>
    </w:p>
    <w:p>
      <w:pPr>
        <w:widowControl w:val="0"/>
        <w:overflowPunct w:val="0"/>
        <w:spacing w:after="0" w:line="600" w:lineRule="exact"/>
        <w:ind w:firstLine="642" w:firstLineChars="200"/>
        <w:jc w:val="both"/>
        <w:rPr>
          <w:rFonts w:ascii="Times New Roman" w:hAnsi="Times New Roman" w:eastAsia="仿宋_GB2312"/>
          <w:sz w:val="32"/>
          <w:szCs w:val="32"/>
        </w:rPr>
      </w:pPr>
      <w:r>
        <w:rPr>
          <w:rFonts w:hint="eastAsia" w:ascii="Times New Roman" w:hAnsi="Times New Roman" w:eastAsia="楷体_GB2312"/>
          <w:b/>
          <w:bCs/>
          <w:sz w:val="32"/>
          <w:szCs w:val="32"/>
        </w:rPr>
        <w:t>这一年，我们充满自信的是，营商环境更优了。</w:t>
      </w:r>
      <w:r>
        <w:rPr>
          <w:rFonts w:ascii="Times New Roman" w:hAnsi="Times New Roman" w:eastAsia="仿宋_GB2312"/>
          <w:sz w:val="32"/>
          <w:szCs w:val="32"/>
        </w:rPr>
        <w:t>致力把优质服务作为荷塘发展的最大优势来打造，大力推进改革创新，以“最多跑一次”政务服务、“全流程”企业服务、“幸福荷塘”民生服务为抓手，加快推进服务型政府建设，营商环境不断创新创优，得到了辖区企业、群众的广泛好评和充分认可。在市园区办组织的第三方机构测评</w:t>
      </w:r>
      <w:bookmarkStart w:id="1" w:name="_GoBack"/>
      <w:bookmarkEnd w:id="1"/>
      <w:r>
        <w:rPr>
          <w:rFonts w:ascii="Times New Roman" w:hAnsi="Times New Roman" w:eastAsia="仿宋_GB2312"/>
          <w:sz w:val="32"/>
          <w:szCs w:val="32"/>
        </w:rPr>
        <w:t>中，我区企业服务工作被评为A类，排名全市前列</w:t>
      </w:r>
      <w:r>
        <w:rPr>
          <w:rFonts w:hint="eastAsia" w:ascii="Times New Roman" w:hAnsi="Times New Roman" w:eastAsia="仿宋_GB2312"/>
          <w:sz w:val="32"/>
          <w:szCs w:val="32"/>
        </w:rPr>
        <w:t>，</w:t>
      </w:r>
      <w:r>
        <w:rPr>
          <w:rFonts w:ascii="Times New Roman" w:hAnsi="Times New Roman" w:eastAsia="仿宋_GB2312"/>
          <w:sz w:val="32"/>
          <w:szCs w:val="32"/>
        </w:rPr>
        <w:t>区企业服务中心获评“湖南省最受欢迎县市区窗口服务平台”。</w:t>
      </w:r>
    </w:p>
    <w:p>
      <w:pPr>
        <w:widowControl w:val="0"/>
        <w:overflowPunct w:val="0"/>
        <w:spacing w:after="0" w:line="600" w:lineRule="exact"/>
        <w:ind w:firstLine="642" w:firstLineChars="200"/>
        <w:jc w:val="both"/>
        <w:rPr>
          <w:rFonts w:ascii="Times New Roman" w:hAnsi="Times New Roman" w:eastAsia="仿宋_GB2312"/>
          <w:sz w:val="32"/>
          <w:szCs w:val="32"/>
        </w:rPr>
      </w:pPr>
      <w:r>
        <w:rPr>
          <w:rFonts w:hint="eastAsia" w:ascii="Times New Roman" w:hAnsi="Times New Roman" w:eastAsia="楷体_GB2312"/>
          <w:b/>
          <w:bCs/>
          <w:sz w:val="32"/>
          <w:szCs w:val="32"/>
        </w:rPr>
        <w:t>这一年，我们最为欣慰的是，群众获得实惠更多了。</w:t>
      </w:r>
      <w:r>
        <w:rPr>
          <w:rFonts w:ascii="Times New Roman" w:hAnsi="Times New Roman" w:eastAsia="仿宋_GB2312"/>
          <w:sz w:val="32"/>
          <w:szCs w:val="32"/>
        </w:rPr>
        <w:t>坚持从群众视角出发，从民生小事着手，持续深入推进“幸福荷塘”系列民生行动，全力补齐民生短板，让改革发展成果更多、更公平地惠及全区人民，民生服务更有温度和质感。“城乡统筹</w:t>
      </w:r>
      <w:r>
        <w:rPr>
          <w:rFonts w:hint="eastAsia" w:ascii="Times New Roman" w:hAnsi="Times New Roman" w:eastAsia="仿宋_GB2312"/>
          <w:sz w:val="32"/>
          <w:szCs w:val="32"/>
        </w:rPr>
        <w:t>·</w:t>
      </w:r>
      <w:r>
        <w:rPr>
          <w:rFonts w:ascii="Times New Roman" w:hAnsi="Times New Roman" w:eastAsia="仿宋_GB2312"/>
          <w:sz w:val="32"/>
          <w:szCs w:val="32"/>
        </w:rPr>
        <w:t>幸福株洲”创新社会治理系列行动现场会在我区召开，“幸福荷塘”经验和做法在全市推介。</w:t>
      </w:r>
    </w:p>
    <w:p>
      <w:pPr>
        <w:widowControl w:val="0"/>
        <w:overflowPunct w:val="0"/>
        <w:spacing w:after="0" w:line="600" w:lineRule="exact"/>
        <w:ind w:firstLine="642" w:firstLineChars="200"/>
        <w:rPr>
          <w:rFonts w:ascii="Times New Roman" w:hAnsi="Times New Roman" w:eastAsia="楷体_GB2312"/>
          <w:b/>
          <w:bCs/>
          <w:sz w:val="32"/>
          <w:szCs w:val="32"/>
        </w:rPr>
      </w:pPr>
      <w:r>
        <w:rPr>
          <w:rFonts w:hint="eastAsia" w:ascii="Times New Roman" w:hAnsi="Times New Roman" w:eastAsia="楷体_GB2312"/>
          <w:b/>
          <w:bCs/>
          <w:sz w:val="32"/>
          <w:szCs w:val="32"/>
        </w:rPr>
        <w:t>这一年，我们为之自豪的是，务实担当的特质更鲜明了。</w:t>
      </w:r>
      <w:r>
        <w:rPr>
          <w:rFonts w:ascii="Times New Roman" w:hAnsi="Times New Roman" w:eastAsia="仿宋_GB2312"/>
          <w:sz w:val="32"/>
          <w:szCs w:val="32"/>
        </w:rPr>
        <w:t>全区上下着眼发展需要，自我加压，大力推进“愚公移山”“冲锋号”、环保整治、拆违治违等系列攻坚行动，在急难险重的工作一线，各级党员干部冲锋在前、义无反顾，锤炼了敢于担当的精神、勤于实干的作风、善于成事的能力。全区干事创业的氛围越发浓厚，苦干实干的作风日益彰显，务实担当的特质更加鲜明。</w:t>
      </w:r>
    </w:p>
    <w:p>
      <w:pPr>
        <w:widowControl w:val="0"/>
        <w:overflowPunct w:val="0"/>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一年来，我们主要做了五个方面的工作：</w:t>
      </w:r>
    </w:p>
    <w:p>
      <w:pPr>
        <w:widowControl w:val="0"/>
        <w:overflowPunct w:val="0"/>
        <w:spacing w:after="0" w:line="600" w:lineRule="exact"/>
        <w:ind w:firstLine="481" w:firstLineChars="150"/>
        <w:rPr>
          <w:rFonts w:ascii="Times New Roman" w:hAnsi="Times New Roman" w:eastAsia="仿宋_GB2312"/>
          <w:sz w:val="32"/>
          <w:szCs w:val="32"/>
        </w:rPr>
      </w:pPr>
      <w:r>
        <w:rPr>
          <w:rFonts w:hint="eastAsia" w:ascii="Times New Roman" w:hAnsi="Times New Roman" w:eastAsia="楷体_GB2312"/>
          <w:b/>
          <w:bCs/>
          <w:sz w:val="32"/>
          <w:szCs w:val="32"/>
        </w:rPr>
        <w:t>（一）着力抓项目兴产业，发展质量稳步提升。</w:t>
      </w:r>
      <w:r>
        <w:rPr>
          <w:rFonts w:ascii="Times New Roman" w:hAnsi="Times New Roman" w:eastAsia="仿宋_GB2312"/>
          <w:b/>
          <w:bCs/>
          <w:sz w:val="32"/>
          <w:szCs w:val="32"/>
        </w:rPr>
        <w:t>重点项目快速推进。</w:t>
      </w:r>
      <w:r>
        <w:rPr>
          <w:rFonts w:ascii="Times New Roman" w:hAnsi="Times New Roman" w:eastAsia="仿宋_GB2312"/>
          <w:sz w:val="32"/>
          <w:szCs w:val="32"/>
        </w:rPr>
        <w:t>深入开展产业项目建设年活动，依托项目办、招商办、企业服务中心，围绕省“五个100”、市“五个一批”“五大行动”，全力以赴助推产业项目开工建设，竣工见效，累计完成重点项目投资101亿元。飞鹿高分子涂料、朗润磁电科技等22个重点项目竣工投产，金城华亿标厂一期、株洲市农副产品批发交易物流中心等30个续建项目推进顺畅，汉德车桥株洲制造基地、</w:t>
      </w:r>
      <w:r>
        <w:rPr>
          <w:rFonts w:hint="eastAsia" w:ascii="Times New Roman" w:hAnsi="Times New Roman" w:eastAsia="仿宋_GB2312"/>
          <w:sz w:val="32"/>
          <w:szCs w:val="32"/>
        </w:rPr>
        <w:t>稀美泰新材料等</w:t>
      </w:r>
      <w:r>
        <w:rPr>
          <w:rFonts w:ascii="Times New Roman" w:hAnsi="Times New Roman" w:eastAsia="仿宋_GB2312"/>
          <w:sz w:val="32"/>
          <w:szCs w:val="32"/>
        </w:rPr>
        <w:t>25个项目相继开工。</w:t>
      </w:r>
      <w:r>
        <w:rPr>
          <w:rFonts w:ascii="Times New Roman" w:hAnsi="Times New Roman" w:eastAsia="仿宋_GB2312"/>
          <w:b/>
          <w:bCs/>
          <w:sz w:val="32"/>
          <w:szCs w:val="32"/>
        </w:rPr>
        <w:t>产业招商成效显著。</w:t>
      </w:r>
      <w:r>
        <w:rPr>
          <w:rFonts w:ascii="Times New Roman" w:hAnsi="Times New Roman" w:eastAsia="仿宋_GB2312"/>
          <w:sz w:val="32"/>
          <w:szCs w:val="32"/>
        </w:rPr>
        <w:t>瞄准“500强”企业、重点湘商及行业龙头，先后签约引进广州好媳妇日用品、喜德盛碳纤维、怡亚通智能物流园等产业项目18个，其中投资超5亿元项目12个。</w:t>
      </w:r>
      <w:r>
        <w:rPr>
          <w:rFonts w:ascii="Times New Roman" w:hAnsi="Times New Roman" w:eastAsia="仿宋_GB2312"/>
          <w:b/>
          <w:bCs/>
          <w:sz w:val="32"/>
          <w:szCs w:val="32"/>
        </w:rPr>
        <w:t>园区发展提质增速。</w:t>
      </w:r>
      <w:r>
        <w:rPr>
          <w:rFonts w:ascii="Times New Roman" w:hAnsi="Times New Roman" w:eastAsia="仿宋_GB2312"/>
          <w:sz w:val="32"/>
          <w:szCs w:val="32"/>
        </w:rPr>
        <w:t>深度融入株洲</w:t>
      </w:r>
      <w:r>
        <w:rPr>
          <w:rFonts w:hint="eastAsia" w:ascii="Times New Roman" w:hAnsi="Times New Roman" w:eastAsia="仿宋_GB2312"/>
          <w:sz w:val="32"/>
          <w:szCs w:val="32"/>
        </w:rPr>
        <w:t>·</w:t>
      </w:r>
      <w:r>
        <w:rPr>
          <w:rFonts w:ascii="Times New Roman" w:hAnsi="Times New Roman" w:eastAsia="仿宋_GB2312"/>
          <w:sz w:val="32"/>
          <w:szCs w:val="32"/>
        </w:rPr>
        <w:t>中国动力谷建设，积极调规扩区，涵盖74</w:t>
      </w:r>
      <w:r>
        <w:rPr>
          <w:rFonts w:hint="eastAsia" w:ascii="Times New Roman" w:hAnsi="Times New Roman" w:eastAsia="仿宋_GB2312"/>
          <w:sz w:val="32"/>
          <w:szCs w:val="32"/>
        </w:rPr>
        <w:t>平方公里的</w:t>
      </w:r>
      <w:r>
        <w:rPr>
          <w:rFonts w:ascii="Times New Roman" w:hAnsi="Times New Roman" w:eastAsia="仿宋_GB2312"/>
          <w:sz w:val="32"/>
          <w:szCs w:val="32"/>
        </w:rPr>
        <w:t>“</w:t>
      </w:r>
      <w:r>
        <w:rPr>
          <w:rFonts w:hint="eastAsia" w:ascii="Times New Roman" w:hAnsi="Times New Roman" w:eastAsia="仿宋_GB2312"/>
          <w:sz w:val="32"/>
          <w:szCs w:val="32"/>
        </w:rPr>
        <w:t>株洲·中国动力谷·新材料城</w:t>
      </w:r>
      <w:r>
        <w:rPr>
          <w:rFonts w:ascii="Times New Roman" w:hAnsi="Times New Roman" w:eastAsia="仿宋_GB2312"/>
          <w:sz w:val="32"/>
          <w:szCs w:val="32"/>
        </w:rPr>
        <w:t>”</w:t>
      </w:r>
      <w:r>
        <w:rPr>
          <w:rFonts w:hint="eastAsia" w:ascii="Times New Roman" w:hAnsi="Times New Roman" w:eastAsia="仿宋_GB2312"/>
          <w:sz w:val="32"/>
          <w:szCs w:val="32"/>
        </w:rPr>
        <w:t>规划顺利通过评审。加速园区创新驱动、提质升级步伐，全年新增高新技术企业</w:t>
      </w:r>
      <w:r>
        <w:rPr>
          <w:rFonts w:ascii="Times New Roman" w:hAnsi="Times New Roman" w:eastAsia="仿宋_GB2312"/>
          <w:sz w:val="32"/>
          <w:szCs w:val="32"/>
        </w:rPr>
        <w:t>16家，完成高新技术产业增加值73.2亿元。大力推进产业集群发展，电商经济集聚发展来势强劲，累计</w:t>
      </w:r>
      <w:r>
        <w:rPr>
          <w:rFonts w:hint="eastAsia" w:ascii="Times New Roman" w:hAnsi="Times New Roman" w:eastAsia="仿宋_GB2312"/>
          <w:sz w:val="32"/>
          <w:szCs w:val="32"/>
        </w:rPr>
        <w:t>入园</w:t>
      </w:r>
      <w:r>
        <w:rPr>
          <w:rFonts w:ascii="Times New Roman" w:hAnsi="Times New Roman" w:eastAsia="仿宋_GB2312"/>
          <w:sz w:val="32"/>
          <w:szCs w:val="32"/>
        </w:rPr>
        <w:t>注册资本2.9亿元。全市唯一的装配式建筑产业示范园落户金山新城，湖南建工集团</w:t>
      </w:r>
      <w:r>
        <w:rPr>
          <w:rFonts w:hint="eastAsia" w:ascii="Times New Roman" w:hAnsi="Times New Roman" w:eastAsia="仿宋_GB2312"/>
          <w:sz w:val="32"/>
          <w:szCs w:val="32"/>
        </w:rPr>
        <w:t>装配式建筑基地即将竣工投产，</w:t>
      </w:r>
      <w:r>
        <w:rPr>
          <w:rFonts w:ascii="Times New Roman" w:hAnsi="Times New Roman" w:eastAsia="仿宋_GB2312"/>
          <w:sz w:val="32"/>
          <w:szCs w:val="32"/>
        </w:rPr>
        <w:t>中天杭萧钢构</w:t>
      </w:r>
      <w:r>
        <w:rPr>
          <w:rFonts w:hint="eastAsia" w:ascii="Times New Roman" w:hAnsi="Times New Roman" w:eastAsia="仿宋_GB2312"/>
          <w:sz w:val="32"/>
          <w:szCs w:val="32"/>
        </w:rPr>
        <w:t>完成厂房主体施工</w:t>
      </w:r>
      <w:r>
        <w:rPr>
          <w:rFonts w:ascii="Times New Roman" w:hAnsi="Times New Roman" w:eastAsia="仿宋_GB2312"/>
          <w:sz w:val="32"/>
          <w:szCs w:val="32"/>
        </w:rPr>
        <w:t>。青塘</w:t>
      </w:r>
      <w:r>
        <w:rPr>
          <w:rFonts w:hint="eastAsia" w:ascii="Times New Roman" w:hAnsi="Times New Roman" w:eastAsia="仿宋_GB2312"/>
          <w:sz w:val="32"/>
          <w:szCs w:val="32"/>
        </w:rPr>
        <w:t>变</w:t>
      </w:r>
      <w:r>
        <w:rPr>
          <w:rFonts w:ascii="Times New Roman" w:hAnsi="Times New Roman" w:eastAsia="仿宋_GB2312"/>
          <w:sz w:val="32"/>
          <w:szCs w:val="32"/>
        </w:rPr>
        <w:t>电站启动建设，自来水、燃气管道提质升级，金塘</w:t>
      </w:r>
      <w:r>
        <w:rPr>
          <w:rFonts w:hint="eastAsia" w:ascii="Times New Roman" w:hAnsi="Times New Roman" w:eastAsia="仿宋_GB2312"/>
          <w:sz w:val="32"/>
          <w:szCs w:val="32"/>
        </w:rPr>
        <w:t>路</w:t>
      </w:r>
      <w:r>
        <w:rPr>
          <w:rFonts w:ascii="Times New Roman" w:hAnsi="Times New Roman" w:eastAsia="仿宋_GB2312"/>
          <w:sz w:val="32"/>
          <w:szCs w:val="32"/>
        </w:rPr>
        <w:t>、香榭路等道路竣工通车，</w:t>
      </w:r>
      <w:r>
        <w:rPr>
          <w:rFonts w:hint="eastAsia" w:ascii="Times New Roman" w:hAnsi="Times New Roman" w:eastAsia="仿宋_GB2312"/>
          <w:sz w:val="32"/>
          <w:szCs w:val="32"/>
        </w:rPr>
        <w:t>园区</w:t>
      </w:r>
      <w:r>
        <w:rPr>
          <w:rFonts w:ascii="Times New Roman" w:hAnsi="Times New Roman" w:eastAsia="仿宋_GB2312"/>
          <w:sz w:val="32"/>
          <w:szCs w:val="32"/>
        </w:rPr>
        <w:t>基础设施和配套功能进一步完善。</w:t>
      </w:r>
      <w:r>
        <w:rPr>
          <w:rFonts w:ascii="Times New Roman" w:hAnsi="Times New Roman" w:eastAsia="仿宋_GB2312"/>
          <w:b/>
          <w:bCs/>
          <w:sz w:val="32"/>
          <w:szCs w:val="32"/>
        </w:rPr>
        <w:t>要素保障全程给力。</w:t>
      </w:r>
      <w:r>
        <w:rPr>
          <w:rFonts w:ascii="Times New Roman" w:hAnsi="Times New Roman" w:eastAsia="仿宋_GB2312"/>
          <w:sz w:val="32"/>
          <w:szCs w:val="32"/>
        </w:rPr>
        <w:t>完成征拆项目41个，征地4215亩，征收国有房屋面积9.4万平方米。紧盯土地报批，批回土地575亩，出让工业土地726亩，盘活低效闲置土地824.5亩。积极应对融资形势变化，多渠道融资21.7亿元，有效保障了项目建设需求。</w:t>
      </w:r>
    </w:p>
    <w:p>
      <w:pPr>
        <w:widowControl w:val="0"/>
        <w:overflowPunct w:val="0"/>
        <w:spacing w:after="0" w:line="600" w:lineRule="exact"/>
        <w:ind w:firstLine="481" w:firstLineChars="150"/>
        <w:rPr>
          <w:rFonts w:ascii="Times New Roman" w:hAnsi="Times New Roman" w:eastAsia="仿宋_GB2312"/>
          <w:sz w:val="32"/>
          <w:szCs w:val="32"/>
        </w:rPr>
      </w:pPr>
      <w:r>
        <w:rPr>
          <w:rFonts w:ascii="Times New Roman" w:hAnsi="Times New Roman" w:eastAsia="楷体_GB2312"/>
          <w:b/>
          <w:bCs/>
          <w:sz w:val="32"/>
          <w:szCs w:val="32"/>
        </w:rPr>
        <w:t>（二）着力抓弱项补短板，“三大攻坚”强力突破。</w:t>
      </w:r>
      <w:r>
        <w:rPr>
          <w:rFonts w:ascii="Times New Roman" w:hAnsi="Times New Roman" w:eastAsia="仿宋_GB2312"/>
          <w:b/>
          <w:bCs/>
          <w:sz w:val="32"/>
          <w:szCs w:val="32"/>
        </w:rPr>
        <w:t>风险防控应对有力。</w:t>
      </w:r>
      <w:r>
        <w:rPr>
          <w:rFonts w:ascii="Times New Roman" w:hAnsi="Times New Roman" w:eastAsia="仿宋_GB2312"/>
          <w:sz w:val="32"/>
          <w:szCs w:val="32"/>
        </w:rPr>
        <w:t>全面核准政府性债务底数，细化措施控增量、化存量，主动“停、缓、调、撤”项目36个，核减投资79.62亿元。出让住宅商服用地593亩，回笼资金21.5亿元。大力压减一般性支出，部门公用经费和业务性专项经费下降10%。主动加强与金融机构的对接，存续金额居全市第一。债务风险化解和应急处置机制不断完善，超额完成全年化债目标。</w:t>
      </w:r>
      <w:r>
        <w:rPr>
          <w:rFonts w:ascii="Times New Roman" w:hAnsi="Times New Roman" w:eastAsia="仿宋_GB2312"/>
          <w:b/>
          <w:bCs/>
          <w:sz w:val="32"/>
          <w:szCs w:val="32"/>
        </w:rPr>
        <w:t>精准脱贫纵深推进。</w:t>
      </w:r>
      <w:r>
        <w:rPr>
          <w:rFonts w:ascii="Times New Roman" w:hAnsi="Times New Roman" w:eastAsia="仿宋_GB2312"/>
          <w:sz w:val="32"/>
          <w:szCs w:val="32"/>
        </w:rPr>
        <w:t>认真落实市委、市政府扶贫工作要求，继续深入茶陵县开展扶贫工作，累计投入资金2200余万元，帮助8个帮扶村完善基础设施、发展集体经济，圆满完成对口帮扶茶陵精准脱贫任务。同时，结合区情实际，把精准脱贫攻坚战重点转向对城</w:t>
      </w:r>
      <w:r>
        <w:rPr>
          <w:rFonts w:hint="eastAsia" w:ascii="Times New Roman" w:hAnsi="Times New Roman" w:eastAsia="仿宋_GB2312"/>
          <w:sz w:val="32"/>
          <w:szCs w:val="32"/>
        </w:rPr>
        <w:t>乡</w:t>
      </w:r>
      <w:r>
        <w:rPr>
          <w:rFonts w:ascii="Times New Roman" w:hAnsi="Times New Roman" w:eastAsia="仿宋_GB2312"/>
          <w:sz w:val="32"/>
          <w:szCs w:val="32"/>
        </w:rPr>
        <w:t>困难人群的帮扶，广泛走访低收入群体、困难群众，开展城</w:t>
      </w:r>
      <w:r>
        <w:rPr>
          <w:rFonts w:hint="eastAsia" w:ascii="Times New Roman" w:hAnsi="Times New Roman" w:eastAsia="仿宋_GB2312"/>
          <w:sz w:val="32"/>
          <w:szCs w:val="32"/>
        </w:rPr>
        <w:t>乡</w:t>
      </w:r>
      <w:r>
        <w:rPr>
          <w:rFonts w:ascii="Times New Roman" w:hAnsi="Times New Roman" w:eastAsia="仿宋_GB2312"/>
          <w:sz w:val="32"/>
          <w:szCs w:val="32"/>
        </w:rPr>
        <w:t>帮困摸底调查，启动宋家桥街道、茨菇塘街道城</w:t>
      </w:r>
      <w:r>
        <w:rPr>
          <w:rFonts w:hint="eastAsia" w:ascii="Times New Roman" w:hAnsi="Times New Roman" w:eastAsia="仿宋_GB2312"/>
          <w:sz w:val="32"/>
          <w:szCs w:val="32"/>
        </w:rPr>
        <w:t>乡</w:t>
      </w:r>
      <w:r>
        <w:rPr>
          <w:rFonts w:ascii="Times New Roman" w:hAnsi="Times New Roman" w:eastAsia="仿宋_GB2312"/>
          <w:sz w:val="32"/>
          <w:szCs w:val="32"/>
        </w:rPr>
        <w:t>帮困工作试点。</w:t>
      </w:r>
      <w:r>
        <w:rPr>
          <w:rFonts w:ascii="Times New Roman" w:hAnsi="Times New Roman" w:eastAsia="仿宋_GB2312"/>
          <w:b/>
          <w:bCs/>
          <w:sz w:val="32"/>
          <w:szCs w:val="32"/>
        </w:rPr>
        <w:t>污染防治从严从实。</w:t>
      </w:r>
      <w:r>
        <w:rPr>
          <w:rFonts w:ascii="Times New Roman" w:hAnsi="Times New Roman" w:eastAsia="仿宋_GB2312"/>
          <w:sz w:val="32"/>
          <w:szCs w:val="32"/>
        </w:rPr>
        <w:t>成立</w:t>
      </w:r>
      <w:r>
        <w:rPr>
          <w:rFonts w:hint="eastAsia" w:ascii="Times New Roman" w:hAnsi="Times New Roman" w:eastAsia="仿宋_GB2312"/>
          <w:sz w:val="32"/>
          <w:szCs w:val="32"/>
        </w:rPr>
        <w:t>了</w:t>
      </w:r>
      <w:r>
        <w:rPr>
          <w:rFonts w:ascii="Times New Roman" w:hAnsi="Times New Roman" w:eastAsia="仿宋_GB2312"/>
          <w:sz w:val="32"/>
          <w:szCs w:val="32"/>
        </w:rPr>
        <w:t>区生态文明建设暨污染防治攻坚战指挥部，建立问题交办销号机制，统筹推进污染防治攻坚战。扎实做好中央环保督察“回头看”和省环保督察反馈问题整改，已办结75件。全面推进“蓝天、碧水、净土”行动，加大扬尘、工业废气污染防治力度，关停“散乱污”企业78家，关停洗砂</w:t>
      </w:r>
      <w:r>
        <w:rPr>
          <w:rFonts w:hint="eastAsia" w:ascii="Times New Roman" w:hAnsi="Times New Roman" w:eastAsia="仿宋_GB2312"/>
          <w:sz w:val="32"/>
          <w:szCs w:val="32"/>
        </w:rPr>
        <w:t>场</w:t>
      </w:r>
      <w:r>
        <w:rPr>
          <w:rFonts w:ascii="Times New Roman" w:hAnsi="Times New Roman" w:eastAsia="仿宋_GB2312"/>
          <w:sz w:val="32"/>
          <w:szCs w:val="32"/>
        </w:rPr>
        <w:t>、碎石场33家，退养畜禽养殖户（场）90家。严格落实河长制，完成天鹅湖、东西湖连通渠黑臭水体治理工程，启动建宁港支流水系治理，整治排污口6个，桂花干渠截污工程即将建成。</w:t>
      </w:r>
      <w:r>
        <w:rPr>
          <w:rFonts w:hint="eastAsia" w:ascii="Times New Roman" w:hAnsi="Times New Roman" w:eastAsia="仿宋_GB2312"/>
          <w:sz w:val="32"/>
          <w:szCs w:val="32"/>
        </w:rPr>
        <w:t>完成</w:t>
      </w:r>
      <w:r>
        <w:rPr>
          <w:rFonts w:ascii="Times New Roman" w:hAnsi="Times New Roman" w:eastAsia="仿宋_GB2312"/>
          <w:sz w:val="32"/>
          <w:szCs w:val="32"/>
        </w:rPr>
        <w:t>南郊垃圾填埋场</w:t>
      </w:r>
      <w:r>
        <w:rPr>
          <w:rFonts w:hint="eastAsia" w:ascii="Times New Roman" w:hAnsi="Times New Roman" w:eastAsia="仿宋_GB2312"/>
          <w:sz w:val="32"/>
          <w:szCs w:val="32"/>
        </w:rPr>
        <w:t>渗漏液应急整改工程</w:t>
      </w:r>
      <w:r>
        <w:rPr>
          <w:rFonts w:ascii="Times New Roman" w:hAnsi="Times New Roman" w:eastAsia="仿宋_GB2312"/>
          <w:sz w:val="32"/>
          <w:szCs w:val="32"/>
        </w:rPr>
        <w:t>，在全市率先全面完成绿心地区工业项目退出工作</w:t>
      </w:r>
      <w:r>
        <w:rPr>
          <w:rFonts w:hint="eastAsia" w:ascii="Times New Roman" w:hAnsi="Times New Roman" w:eastAsia="仿宋_GB2312"/>
          <w:sz w:val="32"/>
          <w:szCs w:val="32"/>
        </w:rPr>
        <w:t>。</w:t>
      </w:r>
      <w:r>
        <w:rPr>
          <w:rFonts w:ascii="Times New Roman" w:hAnsi="Times New Roman" w:eastAsia="仿宋_GB2312"/>
          <w:sz w:val="32"/>
          <w:szCs w:val="32"/>
        </w:rPr>
        <w:t>全区空气质量优良率</w:t>
      </w:r>
      <w:r>
        <w:rPr>
          <w:rFonts w:hint="eastAsia" w:ascii="Times New Roman" w:hAnsi="Times New Roman" w:eastAsia="仿宋_GB2312"/>
          <w:sz w:val="32"/>
          <w:szCs w:val="32"/>
        </w:rPr>
        <w:t>达到</w:t>
      </w:r>
      <w:r>
        <w:rPr>
          <w:rFonts w:ascii="Times New Roman" w:hAnsi="Times New Roman" w:eastAsia="仿宋_GB2312"/>
          <w:sz w:val="32"/>
          <w:szCs w:val="32"/>
        </w:rPr>
        <w:t>80.3%，较去年提升6.3%。</w:t>
      </w:r>
    </w:p>
    <w:p>
      <w:pPr>
        <w:widowControl w:val="0"/>
        <w:overflowPunct w:val="0"/>
        <w:spacing w:after="0" w:line="600" w:lineRule="exact"/>
        <w:ind w:firstLine="642" w:firstLineChars="200"/>
        <w:rPr>
          <w:rFonts w:ascii="Times New Roman" w:hAnsi="Times New Roman" w:eastAsia="楷体_GB2312"/>
          <w:b/>
          <w:bCs/>
          <w:sz w:val="32"/>
          <w:szCs w:val="32"/>
        </w:rPr>
      </w:pPr>
      <w:r>
        <w:rPr>
          <w:rFonts w:ascii="Times New Roman" w:hAnsi="Times New Roman" w:eastAsia="楷体_GB2312"/>
          <w:b/>
          <w:bCs/>
          <w:sz w:val="32"/>
          <w:szCs w:val="32"/>
        </w:rPr>
        <w:t>（三）着力抓提质强基础，城乡发展更具活力。</w:t>
      </w:r>
      <w:r>
        <w:rPr>
          <w:rFonts w:ascii="Times New Roman" w:hAnsi="Times New Roman" w:eastAsia="仿宋_GB2312"/>
          <w:b/>
          <w:bCs/>
          <w:sz w:val="32"/>
          <w:szCs w:val="32"/>
        </w:rPr>
        <w:t>基础设施不断完善。</w:t>
      </w:r>
      <w:r>
        <w:rPr>
          <w:rFonts w:ascii="Times New Roman" w:hAnsi="Times New Roman" w:eastAsia="仿宋_GB2312"/>
          <w:sz w:val="32"/>
          <w:szCs w:val="32"/>
        </w:rPr>
        <w:t>全年推进道路建设30条，枫丹南路、规划30号路等8条道路竣工通车，铁东路核心段、建宁港路即将建成，新文化路等20条道路推进顺利。完成小街小巷提质改造15条，建成红港广场、飞鹿公司林荫停车场，增加林荫车位100个。明照湖一期蓄水和园林绿化基本完成，新苗公园开工建设，创建市气象局等省市园林单位3家。全面推</w:t>
      </w:r>
      <w:r>
        <w:rPr>
          <w:rFonts w:hint="eastAsia" w:ascii="Times New Roman" w:hAnsi="Times New Roman" w:eastAsia="仿宋_GB2312"/>
          <w:sz w:val="32"/>
          <w:szCs w:val="32"/>
        </w:rPr>
        <w:t>动</w:t>
      </w:r>
      <w:r>
        <w:rPr>
          <w:rFonts w:ascii="Times New Roman" w:hAnsi="Times New Roman" w:eastAsia="仿宋_GB2312"/>
          <w:sz w:val="32"/>
          <w:szCs w:val="32"/>
        </w:rPr>
        <w:t>“厕所革命”，华晨东方时代广场、红旗广场驿站建成使用，车管所公交站等45座改建或新建公厕加速推进。</w:t>
      </w:r>
      <w:r>
        <w:rPr>
          <w:rFonts w:ascii="Times New Roman" w:hAnsi="Times New Roman" w:eastAsia="仿宋_GB2312"/>
          <w:b/>
          <w:bCs/>
          <w:sz w:val="32"/>
          <w:szCs w:val="32"/>
        </w:rPr>
        <w:t>城市管理提档升级。</w:t>
      </w:r>
      <w:r>
        <w:rPr>
          <w:rFonts w:ascii="Times New Roman" w:hAnsi="Times New Roman" w:eastAsia="仿宋_GB2312"/>
          <w:sz w:val="32"/>
          <w:szCs w:val="32"/>
        </w:rPr>
        <w:t>顺利完成城市管理综合执法体制改革，整合市政维护、绿化、治违控违、物业管理等7大职能，建立“城管+互联网”管理模式，实行“城管+律师”“城管+公安”综合执法，城市管理和综合执法体制机制进一步健全。全力抓好国卫复审与文明城市复检，集中力量开展430、601片区综合治理、高空“牛皮癣”专项清理、餐厨垃圾专项整治等17项工作，解决了一批群众反映强烈的难点问题，市容环境持续改善。</w:t>
      </w:r>
      <w:r>
        <w:rPr>
          <w:rFonts w:ascii="Times New Roman" w:hAnsi="Times New Roman" w:eastAsia="仿宋_GB2312"/>
          <w:b/>
          <w:bCs/>
          <w:sz w:val="32"/>
          <w:szCs w:val="32"/>
        </w:rPr>
        <w:t>乡村振兴稳步推进。</w:t>
      </w:r>
      <w:r>
        <w:rPr>
          <w:rFonts w:ascii="Times New Roman" w:hAnsi="Times New Roman" w:eastAsia="仿宋_GB2312"/>
          <w:sz w:val="32"/>
          <w:szCs w:val="32"/>
        </w:rPr>
        <w:t>加大仙庾片区基础设施投入力度，茶马线荷塘段提质改造、仙庾片区城市自来水供水、污水处理厂等项目开工建设，S211分路口段改建工程竣工通车。注重农业产业培育，耕食小镇等5个农村休闲旅游产业项目开工建设，新增市级农业合作社、示范家</w:t>
      </w:r>
      <w:r>
        <w:rPr>
          <w:rFonts w:hint="eastAsia" w:ascii="Times New Roman" w:hAnsi="Times New Roman" w:eastAsia="仿宋_GB2312"/>
          <w:spacing w:val="17"/>
          <w:sz w:val="32"/>
          <w:szCs w:val="32"/>
        </w:rPr>
        <w:t>庭农场</w:t>
      </w:r>
      <w:r>
        <w:rPr>
          <w:rFonts w:ascii="Times New Roman" w:hAnsi="Times New Roman" w:eastAsia="仿宋_GB2312"/>
          <w:spacing w:val="17"/>
          <w:sz w:val="32"/>
          <w:szCs w:val="32"/>
        </w:rPr>
        <w:t>4</w:t>
      </w:r>
      <w:r>
        <w:rPr>
          <w:rFonts w:hint="eastAsia" w:ascii="Times New Roman" w:hAnsi="Times New Roman" w:eastAsia="仿宋_GB2312"/>
          <w:spacing w:val="17"/>
          <w:sz w:val="32"/>
          <w:szCs w:val="32"/>
        </w:rPr>
        <w:t>个，新增“三品一标”特色农产品</w:t>
      </w:r>
      <w:r>
        <w:rPr>
          <w:rFonts w:ascii="Times New Roman" w:hAnsi="Times New Roman" w:eastAsia="仿宋_GB2312"/>
          <w:spacing w:val="17"/>
          <w:sz w:val="32"/>
          <w:szCs w:val="32"/>
        </w:rPr>
        <w:t>2</w:t>
      </w:r>
      <w:r>
        <w:rPr>
          <w:rFonts w:hint="eastAsia" w:ascii="Times New Roman" w:hAnsi="Times New Roman" w:eastAsia="仿宋_GB2312"/>
          <w:spacing w:val="17"/>
          <w:sz w:val="32"/>
          <w:szCs w:val="32"/>
        </w:rPr>
        <w:t>个。稳妥推进农业农村改革，全面完成</w:t>
      </w:r>
      <w:r>
        <w:rPr>
          <w:rFonts w:hint="eastAsia" w:ascii="Times New Roman" w:hAnsi="Times New Roman" w:eastAsia="仿宋_GB2312"/>
          <w:color w:val="000000" w:themeColor="text1"/>
          <w:spacing w:val="17"/>
          <w:sz w:val="32"/>
          <w:szCs w:val="32"/>
        </w:rPr>
        <w:t>农村土地确权颁证工作，农村集体产权制度改革有序推进。</w:t>
      </w:r>
      <w:r>
        <w:rPr>
          <w:rFonts w:hint="eastAsia" w:ascii="Times New Roman" w:hAnsi="Times New Roman" w:eastAsia="仿宋_GB2312"/>
          <w:spacing w:val="17"/>
          <w:sz w:val="32"/>
          <w:szCs w:val="32"/>
        </w:rPr>
        <w:t>积极推进美丽乡村示范村建设和农村人居环境综合整治，仙庾岭村、樟霞村成为省、市有影响的美丽乡村。</w:t>
      </w:r>
    </w:p>
    <w:p>
      <w:pPr>
        <w:widowControl w:val="0"/>
        <w:overflowPunct w:val="0"/>
        <w:spacing w:after="0" w:line="600" w:lineRule="exact"/>
        <w:ind w:firstLine="642" w:firstLineChars="200"/>
        <w:rPr>
          <w:rFonts w:ascii="Times New Roman" w:hAnsi="Times New Roman" w:eastAsia="楷体_GB2312"/>
          <w:b/>
          <w:bCs/>
          <w:sz w:val="32"/>
          <w:szCs w:val="32"/>
        </w:rPr>
      </w:pPr>
      <w:r>
        <w:rPr>
          <w:rFonts w:ascii="Times New Roman" w:hAnsi="Times New Roman" w:eastAsia="楷体_GB2312"/>
          <w:b/>
          <w:bCs/>
          <w:sz w:val="32"/>
          <w:szCs w:val="32"/>
        </w:rPr>
        <w:t>（四）着力抓实事惠民生，幸福荷塘全民共享。</w:t>
      </w:r>
      <w:r>
        <w:rPr>
          <w:rFonts w:ascii="Times New Roman" w:hAnsi="Times New Roman" w:eastAsia="仿宋_GB2312"/>
          <w:b/>
          <w:bCs/>
          <w:sz w:val="32"/>
          <w:szCs w:val="32"/>
        </w:rPr>
        <w:t>社会治理不断创新。</w:t>
      </w:r>
      <w:r>
        <w:rPr>
          <w:rFonts w:ascii="Times New Roman" w:hAnsi="Times New Roman" w:eastAsia="仿宋_GB2312"/>
          <w:sz w:val="32"/>
          <w:szCs w:val="32"/>
        </w:rPr>
        <w:t>深入推进“幸福荷塘”系列民生行动，老百姓的幸福感持续提升。网上群众路线走向深化，构建覆盖全区的五级微信群2100余个，累计吸引15.8万人入群，收集群众诉求4000余件，回复率达100%，切实解决了一批民生问题。“三社联动”步入良性轨道，新引进、孵化社会组织15家，实施政府购买项目23个，培养专业社工48名，众筹公益资金50万元，让老弱病残幼、失独等特殊群体得到专业立体帮扶，惠及群众2万余人次。多元化养老服务体系基本建立，新建601幸福里、宁康养护院等社区养老场所4处，完成仙庾、明照敬老院改造，新增养老床位327张，进一步完善区居家养老服务信息平台，月平均服务5487单，用户反馈好评率达95%。稳步推进无物业管理小区业主自治工作，在巩固原有20个小区的基础上，再实现18个无物业管理小区自治，激发了居民自我管理与服务的热情。</w:t>
      </w:r>
      <w:r>
        <w:rPr>
          <w:rFonts w:ascii="Times New Roman" w:hAnsi="Times New Roman" w:eastAsia="仿宋_GB2312"/>
          <w:b/>
          <w:bCs/>
          <w:sz w:val="32"/>
          <w:szCs w:val="32"/>
        </w:rPr>
        <w:t>社会保障提标扩面。</w:t>
      </w:r>
      <w:r>
        <w:rPr>
          <w:rFonts w:ascii="Times New Roman" w:hAnsi="Times New Roman" w:eastAsia="仿宋_GB2312"/>
          <w:sz w:val="32"/>
          <w:szCs w:val="32"/>
        </w:rPr>
        <w:t>全面完成“民生100”工程八大类49项指标，民生支出达13.9亿元，占一般公共预算支出的69.3%，增长13.9%。全年实现新增城镇就业11794人，城镇失业率控制在2.2%以内。实施低保、临时救助、医疗救助5.7万人次，发放救助金2423万元。推进棚户区改造项目17个，惠及1966户。推动“三供一业”改造项目3个，惠及16个小区8131户。</w:t>
      </w:r>
      <w:r>
        <w:rPr>
          <w:rFonts w:ascii="Times New Roman" w:hAnsi="Times New Roman" w:eastAsia="仿宋_GB2312"/>
          <w:b/>
          <w:bCs/>
          <w:sz w:val="32"/>
          <w:szCs w:val="32"/>
        </w:rPr>
        <w:t>社会事业发展升级。</w:t>
      </w:r>
      <w:r>
        <w:rPr>
          <w:rFonts w:ascii="Times New Roman" w:hAnsi="Times New Roman" w:eastAsia="仿宋_GB2312"/>
          <w:sz w:val="32"/>
          <w:szCs w:val="32"/>
        </w:rPr>
        <w:t>荷塘小学教育集团成功组建并运行，优质教育资源加速共建共享。美的学校建成并投入使用，成功引进南雅</w:t>
      </w:r>
      <w:r>
        <w:rPr>
          <w:rFonts w:hint="eastAsia" w:ascii="Times New Roman" w:hAnsi="Times New Roman" w:eastAsia="仿宋_GB2312"/>
          <w:sz w:val="32"/>
          <w:szCs w:val="32"/>
        </w:rPr>
        <w:t>实验</w:t>
      </w:r>
      <w:r>
        <w:rPr>
          <w:rFonts w:ascii="Times New Roman" w:hAnsi="Times New Roman" w:eastAsia="仿宋_GB2312"/>
          <w:sz w:val="32"/>
          <w:szCs w:val="32"/>
        </w:rPr>
        <w:t>中学，加速推进博雅小学改扩建，顺利启动601中英文小学综合楼、荷塘小学本部教学楼、红旗路小学、金山小学改扩建，全年新增学位2914个，超大班额全面消除，大班额率由29%下降至10%。大力推进公办幼儿园建设，市幼儿园分校钻石幼儿园移交我区办学。做实家庭医生签约工作，组建家庭医生服务团队38个，签约服务5.2万人，履约率达74%，群众对基层医疗机构的满意度、信任感逐步上升。成功举办株洲市夏季乡村旅游节、“穿越荷塘”等活动，群众文体活动参与度有力提升。</w:t>
      </w:r>
      <w:r>
        <w:rPr>
          <w:rFonts w:ascii="Times New Roman" w:hAnsi="Times New Roman" w:eastAsia="仿宋_GB2312"/>
          <w:b/>
          <w:bCs/>
          <w:sz w:val="32"/>
          <w:szCs w:val="32"/>
        </w:rPr>
        <w:t>社会大局和谐稳定。</w:t>
      </w:r>
      <w:r>
        <w:rPr>
          <w:rFonts w:ascii="Times New Roman" w:hAnsi="Times New Roman" w:eastAsia="仿宋_GB2312"/>
          <w:sz w:val="32"/>
          <w:szCs w:val="32"/>
        </w:rPr>
        <w:t>从严从实抓好中央巡视组、省委巡视组信访交办件办理，办结率达100%。大力开展信访维稳“积案化解”活动，主动摸排问题、化解矛盾，实现赴省进京上访双下降。大力开展扫黑除恶专项斗争，全区刑事发案率大幅下降，社会大局持续稳定。加大对食品药品违法行为打击力度，查处食品药品违法案件67起，实现食品药品安全“零事故”。成功将非洲猪瘟疫情阻击在外。完善安全生产网格化管理，落实重大事故隐患“一单四制”，开展安全生产“打非治违”百日行动，加强重点领域专项整治，提质改造合泰、富家垅地区消防基础设施，推行智慧用电安全隐患监管服务系统，全区安全生产形势总体平稳可控。国防动员和后备力量建设持续加强，征兵工作任务圆满完成，民兵调整改革落地落实，国防教育和双拥共建齐头并进。</w:t>
      </w:r>
    </w:p>
    <w:p>
      <w:pPr>
        <w:widowControl w:val="0"/>
        <w:overflowPunct w:val="0"/>
        <w:spacing w:after="0" w:line="600" w:lineRule="exact"/>
        <w:ind w:firstLine="642" w:firstLineChars="200"/>
        <w:rPr>
          <w:rFonts w:ascii="Times New Roman" w:hAnsi="Times New Roman" w:eastAsia="仿宋_GB2312"/>
          <w:spacing w:val="-11"/>
          <w:sz w:val="32"/>
          <w:szCs w:val="32"/>
        </w:rPr>
      </w:pPr>
      <w:r>
        <w:rPr>
          <w:rFonts w:ascii="Times New Roman" w:hAnsi="Times New Roman" w:eastAsia="楷体_GB2312"/>
          <w:b/>
          <w:bCs/>
          <w:sz w:val="32"/>
          <w:szCs w:val="32"/>
        </w:rPr>
        <w:t>（五）着力抓服务提效能，发展环境持续向好。</w:t>
      </w:r>
      <w:r>
        <w:rPr>
          <w:rFonts w:ascii="Times New Roman" w:hAnsi="Times New Roman" w:eastAsia="仿宋_GB2312"/>
          <w:b/>
          <w:bCs/>
          <w:sz w:val="32"/>
          <w:szCs w:val="32"/>
        </w:rPr>
        <w:t>政治建设切实加强。</w:t>
      </w:r>
      <w:r>
        <w:rPr>
          <w:rFonts w:ascii="Times New Roman" w:hAnsi="Times New Roman" w:eastAsia="仿宋_GB2312"/>
          <w:sz w:val="32"/>
          <w:szCs w:val="32"/>
        </w:rPr>
        <w:t>深入学习习近平新时代中国特色社会主义思想，坚决落实全面从严治党新要求，切实增强“四个意识”，大力推进政府系统政治建设，不断巩固“两学一做”学习教育常态化、制度化成果，严格落实中央八项规定精神和省、市、区实施办法有关要求，坚决纠正“四风”问题，政府系统意识形态和党风廉政建设不断加强。</w:t>
      </w:r>
      <w:r>
        <w:rPr>
          <w:rFonts w:ascii="Times New Roman" w:hAnsi="Times New Roman" w:eastAsia="仿宋_GB2312"/>
          <w:b/>
          <w:bCs/>
          <w:sz w:val="32"/>
          <w:szCs w:val="32"/>
        </w:rPr>
        <w:t>行政行为不断规范。</w:t>
      </w:r>
      <w:r>
        <w:rPr>
          <w:rFonts w:hint="eastAsia" w:ascii="Times New Roman" w:hAnsi="Times New Roman" w:eastAsia="仿宋_GB2312"/>
          <w:sz w:val="32"/>
          <w:szCs w:val="32"/>
        </w:rPr>
        <w:t>坚决贯彻落实区委的决策部署</w:t>
      </w:r>
      <w:r>
        <w:rPr>
          <w:rFonts w:ascii="Times New Roman" w:hAnsi="Times New Roman" w:eastAsia="仿宋_GB2312"/>
          <w:sz w:val="32"/>
          <w:szCs w:val="32"/>
        </w:rPr>
        <w:t>，全面执行区人大及其常委会决议和决定，自觉在区人大、区政协和社会各界监督下开展工作，充分吸纳各民主党派、工商联、无党派人士和社会各界的意见、建议。全年办理人大代表建议70件，政协委员提案83件，满意率和办结率均为100%。认真处理市长热线交办件3450件，办结率100%。积极拓宽政务公开渠道，受理依申请公开38件，主动公开政务信息2900余条。</w:t>
      </w:r>
      <w:r>
        <w:rPr>
          <w:rFonts w:ascii="Times New Roman" w:hAnsi="Times New Roman" w:eastAsia="仿宋_GB2312"/>
          <w:b/>
          <w:bCs/>
          <w:sz w:val="32"/>
          <w:szCs w:val="32"/>
        </w:rPr>
        <w:t>政务服务更加优化。</w:t>
      </w:r>
      <w:r>
        <w:rPr>
          <w:rFonts w:ascii="Times New Roman" w:hAnsi="Times New Roman" w:eastAsia="仿宋_GB2312"/>
          <w:sz w:val="32"/>
          <w:szCs w:val="32"/>
        </w:rPr>
        <w:t>“最多跑一次”改革一窗通办事项增至14个部门、312项。在全省率先上线网上全流程政务综合办事大厅，实现33个事项网上直接办理、175个事项预受理。全面推广政务服务帮代办工作，建立帮代办队伍57支，为全区居民提供预约代办、上门取件、送件等贴心服务，部分事项实现“一次不用跑”。纵深推进企业服务改革，</w:t>
      </w:r>
      <w:r>
        <w:rPr>
          <w:rFonts w:ascii="Times New Roman" w:hAnsi="Times New Roman" w:eastAsia="仿宋_GB2312"/>
          <w:bCs/>
          <w:sz w:val="32"/>
          <w:szCs w:val="40"/>
        </w:rPr>
        <w:t>创造性召开了千人企业服务大会，向广大企业家和全社会传递了区委、区政府做好企业服务工作的坚定决心。进一步</w:t>
      </w:r>
      <w:r>
        <w:rPr>
          <w:rFonts w:ascii="Times New Roman" w:hAnsi="Times New Roman" w:eastAsia="仿宋_GB2312"/>
          <w:sz w:val="32"/>
          <w:szCs w:val="32"/>
        </w:rPr>
        <w:t>健全完善“招商办—项目办—企业服务中心”三位一体的企业服务体系，聘请了一批高素质企业服务专员，为辖区企业提供从招商到立项、建设到</w:t>
      </w:r>
      <w:r>
        <w:rPr>
          <w:rFonts w:hint="eastAsia" w:ascii="Times New Roman" w:hAnsi="Times New Roman" w:eastAsia="仿宋_GB2312"/>
          <w:sz w:val="32"/>
          <w:szCs w:val="32"/>
        </w:rPr>
        <w:t>投产</w:t>
      </w:r>
      <w:r>
        <w:rPr>
          <w:rFonts w:ascii="Times New Roman" w:hAnsi="Times New Roman" w:eastAsia="仿宋_GB2312"/>
          <w:sz w:val="32"/>
          <w:szCs w:val="32"/>
        </w:rPr>
        <w:t>，</w:t>
      </w:r>
      <w:r>
        <w:rPr>
          <w:rFonts w:hint="eastAsia" w:ascii="Times New Roman" w:hAnsi="Times New Roman" w:eastAsia="仿宋_GB2312"/>
          <w:spacing w:val="11"/>
          <w:sz w:val="32"/>
          <w:szCs w:val="32"/>
        </w:rPr>
        <w:t>贯穿企业发展全过程的系统化服务。全年协助瑞美包装等企业获得银行融资贷款</w:t>
      </w:r>
      <w:r>
        <w:rPr>
          <w:rFonts w:ascii="Times New Roman" w:hAnsi="Times New Roman" w:eastAsia="仿宋_GB2312"/>
          <w:spacing w:val="11"/>
          <w:sz w:val="32"/>
          <w:szCs w:val="32"/>
        </w:rPr>
        <w:t>5000</w:t>
      </w:r>
      <w:r>
        <w:rPr>
          <w:rFonts w:hint="eastAsia" w:ascii="Times New Roman" w:hAnsi="Times New Roman" w:eastAsia="仿宋_GB2312"/>
          <w:spacing w:val="11"/>
          <w:sz w:val="32"/>
          <w:szCs w:val="32"/>
        </w:rPr>
        <w:t>余万元，为企业解决用工需求等各类问题</w:t>
      </w:r>
      <w:r>
        <w:rPr>
          <w:rFonts w:ascii="Times New Roman" w:hAnsi="Times New Roman" w:eastAsia="仿宋_GB2312"/>
          <w:spacing w:val="11"/>
          <w:sz w:val="32"/>
          <w:szCs w:val="32"/>
        </w:rPr>
        <w:t>242</w:t>
      </w:r>
      <w:r>
        <w:rPr>
          <w:rFonts w:hint="eastAsia" w:ascii="Times New Roman" w:hAnsi="Times New Roman" w:eastAsia="仿宋_GB2312"/>
          <w:spacing w:val="11"/>
          <w:sz w:val="32"/>
          <w:szCs w:val="32"/>
        </w:rPr>
        <w:t>个。</w:t>
      </w:r>
    </w:p>
    <w:p>
      <w:pPr>
        <w:widowControl w:val="0"/>
        <w:overflowPunct w:val="0"/>
        <w:spacing w:after="0" w:line="600" w:lineRule="exact"/>
        <w:ind w:firstLine="640" w:firstLineChars="200"/>
        <w:rPr>
          <w:rFonts w:ascii="Times New Roman" w:hAnsi="Times New Roman" w:eastAsia="仿宋_GB2312"/>
          <w:b/>
          <w:bCs/>
          <w:sz w:val="32"/>
          <w:szCs w:val="32"/>
        </w:rPr>
      </w:pPr>
      <w:r>
        <w:rPr>
          <w:rFonts w:ascii="Times New Roman" w:hAnsi="Times New Roman" w:eastAsia="仿宋_GB2312"/>
          <w:sz w:val="32"/>
          <w:szCs w:val="32"/>
        </w:rPr>
        <w:t>与此同时，市场监管、统计监测、人民防空、档案区志、民族宗教、机关事务等各项工作都有新进步，工会、共青团、妇联、工商联、侨联、残联、科协、文联、计生协会、红十字会等群团组织均有新成绩。</w:t>
      </w:r>
    </w:p>
    <w:p>
      <w:pPr>
        <w:widowControl w:val="0"/>
        <w:overflowPunct w:val="0"/>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看似寻常事，过程却艰辛。各位代表，刚刚过去的2018年，我们深感不平凡、不容易、不简单。一年来，我们依靠改革创新的精神、务实担当的作风、苦干实干的劲头，推动了区域经济社会发展逆势前行，一系列具有代表性、开创性、示范性的工作成果和经验获得各界认可。成绩的取得，是区委总揽全局、坚强领导的结果，是区人大、区政协有力监督、大力支持的结果，是全区人民同甘共苦、团结奋斗的结果。在此，我代表区人民政府，向各位人大代表、政协委员、广大干部群众和社会各界人士，致以崇高的敬意和衷心的感谢！</w:t>
      </w:r>
    </w:p>
    <w:p>
      <w:pPr>
        <w:widowControl w:val="0"/>
        <w:overflowPunct w:val="0"/>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总结成绩的同时，我们清醒地看到，2018年政府工作报告分解的81项重点工作，有的指标和任务完成不理想，特别是按照“停、缓、调、撤”要求，政府性投资大幅压减，部分项目放缓了建设，压缩了规模。我们也深刻认识到区域经济社会发展仍存在一些亟待解决的困难和问题：一是经济持续增长动力还不强，传统的三大主导产业，整体有增长，但是带动力强的龙头企业仍然不多，新的装配式建筑产业、电商产业发展来势较好，但对经济的拉动作用还不明显；二是财政刚性支出压力持续加大，教育、医疗、就业等公共服务与群众期盼还有差距，民生保障水平有待进一步提高；三是城市发展引发的新矛盾错综复杂，矛盾化解和社会治理仍需持续用力；四是少数干部作风不够扎实，主动担当的意识和推动工作的能力还有待增强等等。对此，我们一定高度重视，认真研究，全力以赴积极解决。</w:t>
      </w:r>
    </w:p>
    <w:p>
      <w:pPr>
        <w:widowControl w:val="0"/>
        <w:overflowPunct w:val="0"/>
        <w:spacing w:after="0"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二、2019年工作部署</w:t>
      </w:r>
    </w:p>
    <w:p>
      <w:pPr>
        <w:widowControl w:val="0"/>
        <w:overflowPunct w:val="0"/>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位代表！2019年是新中国成立70周年，也是推动高质量发展的关键之年。做好今年的各项工作，我们必须客观审视面临的挑战和机遇。既要看清中美经贸摩擦带来的不确定性、经济下行压力加大带来的挑战；也要看到国家、省、市新一轮改革开放的新战略、新举措正释放空前红利，稳中求进的新思维、新政策正彰显积极效应；同时，更应该看到，这几年，我们持之以恒地抓基础、补短板、强弱项，基础设施配套日益完善，要素瓶颈制约不断破解，产业承载能力大幅增强，全区经济发展来势向好、态势强劲。只要我们坚定信心，拼搏进取，就一定能够奋力谱写荷塘高质量发展的新篇章。</w:t>
      </w:r>
    </w:p>
    <w:p>
      <w:pPr>
        <w:widowControl w:val="0"/>
        <w:overflowPunct w:val="0"/>
        <w:spacing w:after="0" w:line="600" w:lineRule="exact"/>
        <w:ind w:firstLine="640" w:firstLineChars="200"/>
        <w:rPr>
          <w:rFonts w:ascii="Times New Roman" w:hAnsi="Times New Roman" w:eastAsia="黑体"/>
          <w:sz w:val="32"/>
          <w:szCs w:val="32"/>
        </w:rPr>
      </w:pPr>
      <w:r>
        <w:rPr>
          <w:rFonts w:ascii="Times New Roman" w:hAnsi="Times New Roman" w:eastAsia="仿宋_GB2312"/>
          <w:sz w:val="32"/>
          <w:szCs w:val="32"/>
        </w:rPr>
        <w:t>2019年政府工作的指导思想是：</w:t>
      </w:r>
      <w:r>
        <w:rPr>
          <w:rFonts w:ascii="Times New Roman" w:hAnsi="Times New Roman" w:eastAsia="黑体"/>
          <w:sz w:val="32"/>
          <w:szCs w:val="32"/>
        </w:rPr>
        <w:t>以习近平新时代中国特色社会主义思想为指导，认真落实中央、省、市以及区委的决策部署，坚持稳中求进、进中争先工作总基调，践行新发展理念，以供给侧结构性改革为主线，坚定不移地推动高质量发展，深入开展产业项目建设年活动，继续打好</w:t>
      </w:r>
      <w:r>
        <w:rPr>
          <w:rFonts w:hint="eastAsia" w:ascii="Times New Roman" w:hAnsi="Times New Roman" w:eastAsia="黑体"/>
          <w:sz w:val="32"/>
          <w:szCs w:val="32"/>
        </w:rPr>
        <w:t>“</w:t>
      </w:r>
      <w:r>
        <w:rPr>
          <w:rFonts w:ascii="Times New Roman" w:hAnsi="Times New Roman" w:eastAsia="黑体"/>
          <w:sz w:val="32"/>
          <w:szCs w:val="32"/>
        </w:rPr>
        <w:t>三大攻坚战</w:t>
      </w:r>
      <w:r>
        <w:rPr>
          <w:rFonts w:hint="eastAsia" w:ascii="Times New Roman" w:hAnsi="Times New Roman" w:eastAsia="黑体"/>
          <w:sz w:val="32"/>
          <w:szCs w:val="32"/>
        </w:rPr>
        <w:t>”</w:t>
      </w:r>
      <w:r>
        <w:rPr>
          <w:rFonts w:ascii="Times New Roman" w:hAnsi="Times New Roman" w:eastAsia="黑体"/>
          <w:sz w:val="32"/>
          <w:szCs w:val="32"/>
        </w:rPr>
        <w:t>，贯彻以人民为中心的发展思想，不断深化</w:t>
      </w:r>
      <w:r>
        <w:rPr>
          <w:rFonts w:hint="eastAsia" w:ascii="Times New Roman" w:hAnsi="Times New Roman" w:eastAsia="黑体"/>
          <w:sz w:val="32"/>
          <w:szCs w:val="32"/>
        </w:rPr>
        <w:t>“</w:t>
      </w:r>
      <w:r>
        <w:rPr>
          <w:rFonts w:ascii="Times New Roman" w:hAnsi="Times New Roman" w:eastAsia="黑体"/>
          <w:sz w:val="32"/>
          <w:szCs w:val="32"/>
        </w:rPr>
        <w:t>幸福荷塘</w:t>
      </w:r>
      <w:r>
        <w:rPr>
          <w:rFonts w:hint="eastAsia" w:ascii="Times New Roman" w:hAnsi="Times New Roman" w:eastAsia="黑体"/>
          <w:sz w:val="32"/>
          <w:szCs w:val="32"/>
        </w:rPr>
        <w:t>”</w:t>
      </w:r>
      <w:r>
        <w:rPr>
          <w:rFonts w:ascii="Times New Roman" w:hAnsi="Times New Roman" w:eastAsia="黑体"/>
          <w:sz w:val="32"/>
          <w:szCs w:val="32"/>
        </w:rPr>
        <w:t>系列民生行动，坚定信心、保持定力，务实担当、砥砺奋进，加快建设实力、活力、宜居的幸福新荷塘，加快实现基本现代化，以优异成绩庆祝中华人民共和国成立70周年。</w:t>
      </w:r>
    </w:p>
    <w:p>
      <w:pPr>
        <w:widowControl w:val="0"/>
        <w:overflowPunct w:val="0"/>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2019年全区经济社会发展的主要预期目标是：地区生产总值增长8%左右；规模工业增加值增长7.5%；固定资产投资增长10%；</w:t>
      </w:r>
      <w:r>
        <w:rPr>
          <w:rFonts w:hint="eastAsia" w:ascii="Times New Roman" w:hAnsi="Times New Roman" w:eastAsia="仿宋_GB2312"/>
          <w:sz w:val="32"/>
          <w:szCs w:val="32"/>
        </w:rPr>
        <w:t>一般</w:t>
      </w:r>
      <w:r>
        <w:rPr>
          <w:rFonts w:ascii="Times New Roman" w:hAnsi="Times New Roman" w:eastAsia="仿宋_GB2312"/>
          <w:sz w:val="32"/>
          <w:szCs w:val="32"/>
        </w:rPr>
        <w:t>公共预算收入增长7%左右；社会消费品零售总额增长10%；</w:t>
      </w:r>
      <w:r>
        <w:rPr>
          <w:rFonts w:hint="eastAsia" w:ascii="Times New Roman" w:hAnsi="Times New Roman" w:eastAsia="仿宋_GB2312"/>
          <w:sz w:val="32"/>
          <w:szCs w:val="32"/>
        </w:rPr>
        <w:t>城乡居民收入增速高于经济增速，</w:t>
      </w:r>
      <w:r>
        <w:rPr>
          <w:rFonts w:ascii="Times New Roman" w:hAnsi="Times New Roman" w:eastAsia="仿宋_GB2312"/>
          <w:sz w:val="32"/>
          <w:szCs w:val="32"/>
        </w:rPr>
        <w:t>金融财政风险有效防控，生态环境进一步改善，完成市下达的</w:t>
      </w:r>
      <w:r>
        <w:rPr>
          <w:rFonts w:hint="eastAsia" w:ascii="Times New Roman" w:hAnsi="Times New Roman" w:eastAsia="仿宋_GB2312"/>
          <w:sz w:val="32"/>
          <w:szCs w:val="32"/>
        </w:rPr>
        <w:t>节能减排等约束性指标。</w:t>
      </w:r>
    </w:p>
    <w:p>
      <w:pPr>
        <w:widowControl w:val="0"/>
        <w:overflowPunct w:val="0"/>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围绕上述指导思想和目标要求，今年将重点抓好以下五个方面的工作：</w:t>
      </w:r>
    </w:p>
    <w:p>
      <w:pPr>
        <w:widowControl w:val="0"/>
        <w:overflowPunct w:val="0"/>
        <w:spacing w:after="0" w:line="600" w:lineRule="exact"/>
        <w:ind w:firstLine="642" w:firstLineChars="200"/>
        <w:rPr>
          <w:rFonts w:ascii="Times New Roman" w:hAnsi="Times New Roman" w:eastAsia="楷体_GB2312"/>
          <w:b/>
          <w:bCs/>
          <w:sz w:val="32"/>
          <w:szCs w:val="32"/>
        </w:rPr>
      </w:pPr>
      <w:r>
        <w:rPr>
          <w:rFonts w:ascii="Times New Roman" w:hAnsi="Times New Roman" w:eastAsia="楷体_GB2312"/>
          <w:b/>
          <w:bCs/>
          <w:sz w:val="32"/>
          <w:szCs w:val="32"/>
        </w:rPr>
        <w:t>（一）突出产业引领，全力打造高质量发展引擎</w:t>
      </w:r>
    </w:p>
    <w:p>
      <w:pPr>
        <w:widowControl w:val="0"/>
        <w:overflowPunct w:val="0"/>
        <w:spacing w:after="0" w:line="600" w:lineRule="exact"/>
        <w:ind w:firstLine="642" w:firstLineChars="200"/>
        <w:rPr>
          <w:rFonts w:ascii="Times New Roman" w:hAnsi="Times New Roman" w:eastAsia="仿宋_GB2312"/>
          <w:sz w:val="32"/>
          <w:szCs w:val="32"/>
        </w:rPr>
      </w:pPr>
      <w:r>
        <w:rPr>
          <w:rFonts w:ascii="Times New Roman" w:hAnsi="Times New Roman" w:eastAsia="仿宋_GB2312"/>
          <w:b/>
          <w:bCs/>
          <w:sz w:val="32"/>
          <w:szCs w:val="32"/>
        </w:rPr>
        <w:t>提质升级主导产业。</w:t>
      </w:r>
      <w:r>
        <w:rPr>
          <w:rFonts w:ascii="Times New Roman" w:hAnsi="Times New Roman" w:eastAsia="仿宋_GB2312"/>
          <w:sz w:val="32"/>
          <w:szCs w:val="32"/>
        </w:rPr>
        <w:t>深化制造强市“1093”行动，着力推进新材料、轨道交通装备配套、医学健康三大主导产业量质齐升。做强新材料产业。以株硬集团硬质合金材料产业</w:t>
      </w:r>
      <w:r>
        <w:rPr>
          <w:rFonts w:hint="eastAsia" w:ascii="Times New Roman" w:hAnsi="Times New Roman" w:eastAsia="仿宋_GB2312"/>
          <w:sz w:val="32"/>
          <w:szCs w:val="32"/>
        </w:rPr>
        <w:t>、</w:t>
      </w:r>
      <w:r>
        <w:rPr>
          <w:rFonts w:ascii="Times New Roman" w:hAnsi="Times New Roman" w:eastAsia="仿宋_GB2312"/>
          <w:sz w:val="32"/>
          <w:szCs w:val="32"/>
        </w:rPr>
        <w:t>飞鹿高分子涂料、喜德盛碳纤维等特种新材料产业为重点，开展定向招商，着力延链补链强链，加快引进一批发展前景好、科技含量高、创新能力强的上下游项目，全力打造“</w:t>
      </w:r>
      <w:r>
        <w:rPr>
          <w:rFonts w:hint="eastAsia" w:ascii="Times New Roman" w:hAnsi="Times New Roman" w:eastAsia="仿宋_GB2312"/>
          <w:sz w:val="32"/>
          <w:szCs w:val="32"/>
        </w:rPr>
        <w:t>株洲·</w:t>
      </w:r>
      <w:r>
        <w:rPr>
          <w:rFonts w:ascii="Times New Roman" w:hAnsi="Times New Roman" w:eastAsia="仿宋_GB2312"/>
          <w:sz w:val="32"/>
          <w:szCs w:val="32"/>
        </w:rPr>
        <w:t>中国动力谷</w:t>
      </w:r>
      <w:r>
        <w:rPr>
          <w:rFonts w:hint="eastAsia" w:ascii="Times New Roman" w:hAnsi="Times New Roman" w:eastAsia="仿宋_GB2312"/>
          <w:sz w:val="32"/>
          <w:szCs w:val="32"/>
        </w:rPr>
        <w:t>·</w:t>
      </w:r>
      <w:r>
        <w:rPr>
          <w:rFonts w:ascii="Times New Roman" w:hAnsi="Times New Roman" w:eastAsia="仿宋_GB2312"/>
          <w:sz w:val="32"/>
          <w:szCs w:val="32"/>
        </w:rPr>
        <w:t>新材料城”，助推全市新材料产业向国家级产业集群迈进。做实装配式建筑产业。推动湖南建工集团、中天杭萧钢构等装配式建筑产业基地尽快建成投产，加快装配式建筑产业联盟、研发中心建设，推动装配式建筑产业集群快速成型。做大轨道交通装备配套产业。全力支持中车长江车辆株洲分公司在我区设立子公司，有序引导430片区斯威铁路、铁达能源等企业提质升级，着力壮大轨道交通装备配套产业体量。做精医学健康产业。加大对千金湘药新药生产线建设、化工原料仓库技改、高层次人才引进等扶持力度，推动企业向更高量级龙头企业发展，增强千金湘药对相关配套产业的带动作用。</w:t>
      </w:r>
    </w:p>
    <w:p>
      <w:pPr>
        <w:widowControl w:val="0"/>
        <w:overflowPunct w:val="0"/>
        <w:spacing w:after="0" w:line="600" w:lineRule="exact"/>
        <w:ind w:firstLine="642" w:firstLineChars="200"/>
        <w:rPr>
          <w:rFonts w:ascii="Times New Roman" w:hAnsi="Times New Roman" w:eastAsia="仿宋_GB2312"/>
          <w:sz w:val="32"/>
          <w:szCs w:val="32"/>
        </w:rPr>
      </w:pPr>
      <w:r>
        <w:rPr>
          <w:rFonts w:ascii="Times New Roman" w:hAnsi="Times New Roman" w:eastAsia="仿宋_GB2312"/>
          <w:b/>
          <w:bCs/>
          <w:sz w:val="32"/>
          <w:szCs w:val="32"/>
        </w:rPr>
        <w:t>强力推进项目攻坚。</w:t>
      </w:r>
      <w:r>
        <w:rPr>
          <w:rFonts w:ascii="Times New Roman" w:hAnsi="Times New Roman" w:eastAsia="仿宋_GB2312"/>
          <w:sz w:val="32"/>
          <w:szCs w:val="32"/>
        </w:rPr>
        <w:t>继续深化产业项目建设年活动，坚持在建项目促竣工、招商项目促落地、储备项目促前期，统筹推进135个重点项目建设，带动投资稳步提升。继续发扬“愚公移山”“冲锋号”行动攻坚克难精神，聚焦聚力土地报批、房屋征拆、土地出让、三通一平、配套设施建设等关键要素，全面推进产业项目建设“春雷”行动，加快产业项目用地调规、土地报批工作进度，加速完成中粮锦云地产、跨线桥二期等项目征拆扫尾清零，全力推进园区H6、G17等工业土地出让，全年力争征拆集体土地3500亩，</w:t>
      </w:r>
      <w:r>
        <w:rPr>
          <w:rFonts w:hint="eastAsia" w:ascii="Times New Roman" w:hAnsi="Times New Roman" w:eastAsia="仿宋_GB2312"/>
          <w:sz w:val="32"/>
          <w:szCs w:val="32"/>
        </w:rPr>
        <w:t>征收</w:t>
      </w:r>
      <w:r>
        <w:rPr>
          <w:rFonts w:ascii="Times New Roman" w:hAnsi="Times New Roman" w:eastAsia="仿宋_GB2312"/>
          <w:sz w:val="32"/>
          <w:szCs w:val="32"/>
        </w:rPr>
        <w:t>国有房屋面积60000平方米。积极拓宽融资渠道，切实增加直接融资，为产业项目建设提供强力保障。深化重点产业项目帮促行动，一对一、点对点排忧解难，打造无障碍施工环境。力推汉德车桥株洲制造基地</w:t>
      </w:r>
      <w:r>
        <w:rPr>
          <w:rFonts w:hint="eastAsia" w:ascii="Times New Roman" w:hAnsi="Times New Roman" w:eastAsia="仿宋_GB2312"/>
          <w:sz w:val="32"/>
          <w:szCs w:val="32"/>
        </w:rPr>
        <w:t>一期、</w:t>
      </w:r>
      <w:r>
        <w:rPr>
          <w:rFonts w:ascii="Times New Roman" w:hAnsi="Times New Roman" w:eastAsia="仿宋_GB2312"/>
          <w:sz w:val="32"/>
          <w:szCs w:val="32"/>
        </w:rPr>
        <w:t>株洲市农副产品批发交易物流中心一期等项目建成</w:t>
      </w:r>
      <w:r>
        <w:rPr>
          <w:rFonts w:hint="eastAsia" w:ascii="Times New Roman" w:hAnsi="Times New Roman" w:eastAsia="仿宋_GB2312"/>
          <w:sz w:val="32"/>
          <w:szCs w:val="32"/>
        </w:rPr>
        <w:t>或</w:t>
      </w:r>
      <w:r>
        <w:rPr>
          <w:rFonts w:ascii="Times New Roman" w:hAnsi="Times New Roman" w:eastAsia="仿宋_GB2312"/>
          <w:sz w:val="32"/>
          <w:szCs w:val="32"/>
        </w:rPr>
        <w:t>投产</w:t>
      </w:r>
      <w:r>
        <w:rPr>
          <w:rFonts w:hint="eastAsia" w:ascii="Times New Roman" w:hAnsi="Times New Roman" w:eastAsia="仿宋_GB2312"/>
          <w:sz w:val="32"/>
          <w:szCs w:val="32"/>
        </w:rPr>
        <w:t>，</w:t>
      </w:r>
      <w:r>
        <w:rPr>
          <w:rFonts w:ascii="Times New Roman" w:hAnsi="Times New Roman" w:eastAsia="仿宋_GB2312"/>
          <w:sz w:val="32"/>
          <w:szCs w:val="32"/>
        </w:rPr>
        <w:t>好媳妇日用品智能制造基地、怡亚通金巢现代工业园、宏远机械等项目尽快开工。</w:t>
      </w:r>
    </w:p>
    <w:p>
      <w:pPr>
        <w:widowControl w:val="0"/>
        <w:overflowPunct w:val="0"/>
        <w:spacing w:after="0" w:line="600" w:lineRule="exact"/>
        <w:ind w:firstLine="642" w:firstLineChars="200"/>
        <w:rPr>
          <w:rFonts w:ascii="Times New Roman" w:hAnsi="Times New Roman" w:eastAsia="仿宋_GB2312"/>
          <w:sz w:val="32"/>
          <w:szCs w:val="32"/>
        </w:rPr>
      </w:pPr>
      <w:r>
        <w:rPr>
          <w:rFonts w:ascii="Times New Roman" w:hAnsi="Times New Roman" w:eastAsia="仿宋_GB2312"/>
          <w:b/>
          <w:bCs/>
          <w:sz w:val="32"/>
          <w:szCs w:val="32"/>
        </w:rPr>
        <w:t>增强园区承载能力。</w:t>
      </w:r>
      <w:r>
        <w:rPr>
          <w:rFonts w:ascii="Times New Roman" w:hAnsi="Times New Roman" w:eastAsia="仿宋_GB2312"/>
          <w:sz w:val="32"/>
          <w:szCs w:val="32"/>
        </w:rPr>
        <w:t>大力推进科技创新。充分发挥省级高新区引领带动作用，积极引导园区现有企业将核心技术申请转化为国家标准、国际标准。支持鼓励企业加大技改力度，创建一批省级智能制造示范企业和示范车间。进一步加大专精特新企业的培育力度，着力新增一批专精特新“小巨人”企业。全年力争完成高新技术增加值86.6亿元，实现增长20%以上。积极创新园区开发模式。进一步盘活园区周边存量土地资源，加快推进东环北路东侧A</w:t>
      </w:r>
      <w:r>
        <w:rPr>
          <w:rFonts w:ascii="Times New Roman" w:hAnsi="Times New Roman" w:eastAsia="仿宋_GB2312"/>
          <w:sz w:val="32"/>
          <w:szCs w:val="32"/>
          <w:vertAlign w:val="subscript"/>
        </w:rPr>
        <w:t>1</w:t>
      </w:r>
      <w:r>
        <w:rPr>
          <w:rFonts w:ascii="Times New Roman" w:hAnsi="Times New Roman" w:eastAsia="仿宋_GB2312"/>
          <w:sz w:val="32"/>
          <w:szCs w:val="32"/>
        </w:rPr>
        <w:t>、A</w:t>
      </w:r>
      <w:r>
        <w:rPr>
          <w:rFonts w:ascii="Times New Roman" w:hAnsi="Times New Roman" w:eastAsia="仿宋_GB2312"/>
          <w:sz w:val="32"/>
          <w:szCs w:val="32"/>
          <w:vertAlign w:val="subscript"/>
        </w:rPr>
        <w:t>2</w:t>
      </w:r>
      <w:r>
        <w:rPr>
          <w:rFonts w:ascii="Times New Roman" w:hAnsi="Times New Roman" w:eastAsia="仿宋_GB2312"/>
          <w:sz w:val="32"/>
          <w:szCs w:val="32"/>
        </w:rPr>
        <w:t>等商住地块出让，募集资金平衡园区开发建设投入。继续探索借助市场力量推动园区开发和运营的新模式，引进社会资本合作开发“园中园”，全力抓好医学健康产业园、金城华亿电商服饰产业园、硬质合金配套产业园建设，不断推进高新区扩容增效。大力开展园区标厂招商。落实好标厂租售有关奖励政策，着力引进一批科技含量高、成长性好的中小企业入驻，形成中小项目铺天盖地的局面，激发高新区发展活力。完善基础设施配套。优先完善已入园企业、已落地项目、已出让土地周边的水电路气等基础设施配套，全力完成金乐路、金达路、金龙东路补建工程建设。加快金城国际学校、中美医院、景业山湖湾等生活性配套项目建设，尽快建成金山污水处理厂一期、青塘变电站、公租房等生产性配套设施，不断提升园区产城融合发展的承载能力。</w:t>
      </w:r>
    </w:p>
    <w:p>
      <w:pPr>
        <w:widowControl w:val="0"/>
        <w:overflowPunct w:val="0"/>
        <w:spacing w:after="0" w:line="600" w:lineRule="exact"/>
        <w:ind w:firstLine="642" w:firstLineChars="200"/>
        <w:rPr>
          <w:rFonts w:ascii="Times New Roman" w:hAnsi="Times New Roman" w:eastAsia="仿宋_GB2312"/>
          <w:sz w:val="32"/>
          <w:szCs w:val="32"/>
        </w:rPr>
      </w:pPr>
      <w:r>
        <w:rPr>
          <w:rFonts w:ascii="Times New Roman" w:hAnsi="Times New Roman" w:eastAsia="仿宋_GB2312"/>
          <w:b/>
          <w:bCs/>
          <w:sz w:val="32"/>
          <w:szCs w:val="32"/>
        </w:rPr>
        <w:t>优化产业发展环境。</w:t>
      </w:r>
      <w:r>
        <w:rPr>
          <w:rFonts w:ascii="Times New Roman" w:hAnsi="Times New Roman" w:eastAsia="仿宋_GB2312"/>
          <w:sz w:val="32"/>
          <w:szCs w:val="32"/>
        </w:rPr>
        <w:t>持续深化供给侧结构性改革，按照中央“巩固、增强、提升、畅通”八字方针，提升优质服务供给，畅通惠企政策供给。着眼构建“区级联动、区域协调”的服务企业大格局，打通企业服务中心与镇办的工作协同渠道。依托现有政务服务网络，主动与株洲市民中心建立数据链接，争取设立项目投资审批综合受理前置窗口，实现审批事项区级受理、市级审批。探索建立全区中小微企业征信体系、企业产品信息大数据库。积极开展温暖企业行动，加大对中央、省、市各级惠企政策的梳理和研究，逐条测算实际减负效果，上门集中宣传解读，指导企业灵活运用。加大对企业融资担保的支持力度，力争将辖区更多企业纳入全市中小微企业信用贷款扶持白名单，坚决兑现区本级“瞪羚企业”融资贴息等政策，让低息贷款惠及更多企业。着力构建“亲”“清”新型政商关系，切实保护民营企业家人身和财产安全，政府各部门和两家平台公司都不得违约拖欠中小企业款项，作出的各项承诺必须坚决依法兑现。</w:t>
      </w:r>
    </w:p>
    <w:p>
      <w:pPr>
        <w:widowControl w:val="0"/>
        <w:overflowPunct w:val="0"/>
        <w:spacing w:after="0" w:line="600" w:lineRule="exact"/>
        <w:ind w:firstLine="642" w:firstLineChars="200"/>
        <w:rPr>
          <w:rFonts w:ascii="Times New Roman" w:hAnsi="Times New Roman" w:eastAsia="楷体_GB2312"/>
          <w:b/>
          <w:bCs/>
          <w:sz w:val="32"/>
          <w:szCs w:val="32"/>
        </w:rPr>
      </w:pPr>
      <w:r>
        <w:rPr>
          <w:rFonts w:ascii="Times New Roman" w:hAnsi="Times New Roman" w:eastAsia="楷体_GB2312"/>
          <w:b/>
          <w:bCs/>
          <w:sz w:val="32"/>
          <w:szCs w:val="32"/>
        </w:rPr>
        <w:t>（二）加快城市提质，有效激发高质量发展活力</w:t>
      </w:r>
    </w:p>
    <w:p>
      <w:pPr>
        <w:widowControl w:val="0"/>
        <w:overflowPunct w:val="0"/>
        <w:spacing w:after="0" w:line="600" w:lineRule="exact"/>
        <w:ind w:firstLine="642" w:firstLineChars="200"/>
        <w:rPr>
          <w:rFonts w:ascii="Times New Roman" w:hAnsi="Times New Roman" w:eastAsia="仿宋_GB2312"/>
          <w:sz w:val="32"/>
          <w:szCs w:val="32"/>
        </w:rPr>
      </w:pPr>
      <w:r>
        <w:rPr>
          <w:rFonts w:ascii="Times New Roman" w:hAnsi="Times New Roman" w:eastAsia="仿宋_GB2312"/>
          <w:b/>
          <w:bCs/>
          <w:sz w:val="32"/>
          <w:szCs w:val="32"/>
        </w:rPr>
        <w:t>统筹推进片区建设。</w:t>
      </w:r>
      <w:r>
        <w:rPr>
          <w:rFonts w:ascii="Times New Roman" w:hAnsi="Times New Roman" w:eastAsia="仿宋_GB2312"/>
          <w:sz w:val="32"/>
          <w:szCs w:val="32"/>
        </w:rPr>
        <w:t>主动对接市场主体和市级平台公司，积极策划包装一批项目，借势、借力推进片区建设。推动恒大林溪郡、荣盛华府、水木阳光里、新城樾府、中梁建宁檀府、美的紫云台等优质地产项目加速建成，进一步打造荷塘宜居优势。逐步启动太阳商贸聚集区、水竹湖科教新区、金山新城产城示范区规划学校新建，加快推进金山小学、红旗路小学改扩建，以优质的教育资源，吸</w:t>
      </w:r>
      <w:r>
        <w:rPr>
          <w:rFonts w:ascii="Times New Roman" w:hAnsi="Times New Roman" w:eastAsia="仿宋_GB2312"/>
          <w:kern w:val="2"/>
          <w:sz w:val="32"/>
          <w:szCs w:val="32"/>
        </w:rPr>
        <w:t>引更多的人口聚集。大力推进城市商圈建设。</w:t>
      </w:r>
      <w:r>
        <w:rPr>
          <w:rFonts w:ascii="Times New Roman" w:hAnsi="Times New Roman" w:eastAsia="仿宋_GB2312"/>
          <w:sz w:val="32"/>
          <w:szCs w:val="32"/>
        </w:rPr>
        <w:t>以株洲火车站东广场启动大型商业综合体全球招商为契机，着力推进中央商务区高端商圈发展。以红旗广场西南角开发为突破，推动红旗商圈提质升级。依托</w:t>
      </w:r>
      <w:r>
        <w:rPr>
          <w:rFonts w:hint="eastAsia" w:ascii="Times New Roman" w:hAnsi="Times New Roman" w:eastAsia="仿宋_GB2312"/>
          <w:sz w:val="32"/>
          <w:szCs w:val="32"/>
        </w:rPr>
        <w:t>莲株高速、</w:t>
      </w:r>
      <w:r>
        <w:rPr>
          <w:rFonts w:ascii="Times New Roman" w:hAnsi="Times New Roman" w:eastAsia="仿宋_GB2312"/>
          <w:sz w:val="32"/>
          <w:szCs w:val="32"/>
        </w:rPr>
        <w:t>建宁港路</w:t>
      </w:r>
      <w:r>
        <w:rPr>
          <w:rFonts w:hint="eastAsia" w:ascii="Times New Roman" w:hAnsi="Times New Roman" w:eastAsia="仿宋_GB2312"/>
          <w:sz w:val="32"/>
          <w:szCs w:val="32"/>
        </w:rPr>
        <w:t>、</w:t>
      </w:r>
      <w:r>
        <w:rPr>
          <w:rFonts w:ascii="Times New Roman" w:hAnsi="Times New Roman" w:eastAsia="仿宋_GB2312"/>
          <w:sz w:val="32"/>
          <w:szCs w:val="32"/>
        </w:rPr>
        <w:t>桐梓坪特色小镇周边项目建设，谋划好太阳商贸集聚区发展。充分发挥华润万家、步步高、大润发、银泰财富广场等时尚消费地标辐射作用，推进向阳广场、新塘路沿线商业集聚，打造一批新的高端商圈，带动城市发展。</w:t>
      </w:r>
    </w:p>
    <w:p>
      <w:pPr>
        <w:widowControl w:val="0"/>
        <w:overflowPunct w:val="0"/>
        <w:spacing w:after="0" w:line="600" w:lineRule="exact"/>
        <w:ind w:firstLine="642" w:firstLineChars="200"/>
        <w:rPr>
          <w:rFonts w:ascii="Times New Roman" w:hAnsi="Times New Roman" w:eastAsia="仿宋_GB2312"/>
          <w:b/>
          <w:bCs/>
          <w:sz w:val="32"/>
          <w:szCs w:val="32"/>
        </w:rPr>
      </w:pPr>
      <w:r>
        <w:rPr>
          <w:rFonts w:ascii="Times New Roman" w:hAnsi="Times New Roman" w:eastAsia="仿宋_GB2312"/>
          <w:b/>
          <w:bCs/>
          <w:sz w:val="32"/>
          <w:szCs w:val="32"/>
        </w:rPr>
        <w:t>优化城市基础配套。</w:t>
      </w:r>
      <w:r>
        <w:rPr>
          <w:rFonts w:ascii="Times New Roman" w:hAnsi="Times New Roman" w:eastAsia="仿宋_GB2312"/>
          <w:sz w:val="32"/>
          <w:szCs w:val="32"/>
        </w:rPr>
        <w:t>加快交通路网建设，启动芙蓉路、黄泥塘路、新塘路四期等17条道路新建，加快铁东路、新文化路、升龙路等20条道路续建，完成6条小街小巷提质改造，全力完善城区内外交通体系。</w:t>
      </w:r>
      <w:r>
        <w:rPr>
          <w:rFonts w:hint="eastAsia" w:ascii="Times New Roman" w:hAnsi="Times New Roman" w:eastAsia="仿宋_GB2312"/>
          <w:sz w:val="32"/>
          <w:szCs w:val="32"/>
        </w:rPr>
        <w:t>大力实施</w:t>
      </w:r>
      <w:r>
        <w:rPr>
          <w:rFonts w:ascii="Times New Roman" w:hAnsi="Times New Roman" w:eastAsia="仿宋_GB2312"/>
          <w:sz w:val="32"/>
          <w:szCs w:val="32"/>
        </w:rPr>
        <w:t>创建国家生态园林城市三年行动，</w:t>
      </w:r>
      <w:r>
        <w:rPr>
          <w:rFonts w:hint="eastAsia" w:ascii="Times New Roman" w:hAnsi="Times New Roman" w:eastAsia="仿宋_GB2312"/>
          <w:sz w:val="32"/>
          <w:szCs w:val="32"/>
        </w:rPr>
        <w:t>加快流芳园改建及</w:t>
      </w:r>
      <w:r>
        <w:rPr>
          <w:rFonts w:ascii="Times New Roman" w:hAnsi="Times New Roman" w:eastAsia="仿宋_GB2312"/>
          <w:sz w:val="32"/>
          <w:szCs w:val="32"/>
        </w:rPr>
        <w:t>新苗公园建设，完成明照湖公园、美的工业景观长廊建设。加快实施旧城提质，全力推进红旗广场西南角、戴家岭城中村等棚户区改造，完成601厂、湘华机械厂、430厂等企业“三供一业”改造，着力改善中心城区城市品质。</w:t>
      </w:r>
    </w:p>
    <w:p>
      <w:pPr>
        <w:widowControl w:val="0"/>
        <w:overflowPunct w:val="0"/>
        <w:spacing w:after="0" w:line="600" w:lineRule="exact"/>
        <w:ind w:firstLine="642" w:firstLineChars="200"/>
        <w:rPr>
          <w:rFonts w:ascii="Times New Roman" w:hAnsi="Times New Roman" w:eastAsia="仿宋_GB2312"/>
          <w:b/>
          <w:bCs/>
          <w:sz w:val="32"/>
          <w:szCs w:val="32"/>
        </w:rPr>
      </w:pPr>
      <w:r>
        <w:rPr>
          <w:rFonts w:ascii="Times New Roman" w:hAnsi="Times New Roman" w:eastAsia="仿宋_GB2312"/>
          <w:b/>
          <w:bCs/>
          <w:sz w:val="32"/>
          <w:szCs w:val="32"/>
        </w:rPr>
        <w:t>提升城市管理水平。</w:t>
      </w:r>
      <w:r>
        <w:rPr>
          <w:rFonts w:ascii="Times New Roman" w:hAnsi="Times New Roman" w:eastAsia="仿宋_GB2312"/>
          <w:sz w:val="32"/>
          <w:szCs w:val="32"/>
        </w:rPr>
        <w:t>坚持以“绣花”精神推进城市管理，加快智慧执法系统建设，探索智慧绿化、智慧市政、智慧渣土建设，提升城市管理科学化、精细化、智能化、法治化、社会化水平。继续推行“城管+X”模式，推动市容环境整治向小街小巷延伸。加快推进餐厨垃圾无害化处理，</w:t>
      </w:r>
      <w:r>
        <w:rPr>
          <w:rFonts w:hint="eastAsia" w:ascii="Times New Roman" w:hAnsi="Times New Roman" w:eastAsia="仿宋_GB2312"/>
          <w:sz w:val="32"/>
          <w:szCs w:val="32"/>
        </w:rPr>
        <w:t>进一步加强“地沟油”治理，</w:t>
      </w:r>
      <w:r>
        <w:rPr>
          <w:rFonts w:ascii="Times New Roman" w:hAnsi="Times New Roman" w:eastAsia="仿宋_GB2312"/>
          <w:sz w:val="32"/>
          <w:szCs w:val="32"/>
        </w:rPr>
        <w:t>确保“舌尖上”的安全。始终保持高压态势，充分发挥区、镇办、村（社区）、村民小组四级联动作用，严格治违控违。全面完成“厕所革命”建设任务，实现“建宁驿站”精细化管养和市场化运营。</w:t>
      </w:r>
    </w:p>
    <w:p>
      <w:pPr>
        <w:widowControl w:val="0"/>
        <w:overflowPunct w:val="0"/>
        <w:spacing w:after="0" w:line="600" w:lineRule="exact"/>
        <w:ind w:firstLine="642" w:firstLineChars="200"/>
        <w:rPr>
          <w:rFonts w:ascii="Times New Roman" w:hAnsi="Times New Roman" w:eastAsia="楷体_GB2312"/>
          <w:b/>
          <w:bCs/>
          <w:sz w:val="32"/>
          <w:szCs w:val="32"/>
        </w:rPr>
      </w:pPr>
      <w:r>
        <w:rPr>
          <w:rFonts w:ascii="Times New Roman" w:hAnsi="Times New Roman" w:eastAsia="楷体_GB2312"/>
          <w:b/>
          <w:bCs/>
          <w:sz w:val="32"/>
          <w:szCs w:val="32"/>
        </w:rPr>
        <w:t>（三）深化乡村振兴，</w:t>
      </w:r>
      <w:r>
        <w:rPr>
          <w:rFonts w:hint="eastAsia" w:ascii="Times New Roman" w:hAnsi="Times New Roman" w:eastAsia="楷体_GB2312"/>
          <w:b/>
          <w:bCs/>
          <w:sz w:val="32"/>
          <w:szCs w:val="32"/>
        </w:rPr>
        <w:t>努力</w:t>
      </w:r>
      <w:r>
        <w:rPr>
          <w:rFonts w:ascii="Times New Roman" w:hAnsi="Times New Roman" w:eastAsia="楷体_GB2312"/>
          <w:b/>
          <w:bCs/>
          <w:sz w:val="32"/>
          <w:szCs w:val="32"/>
        </w:rPr>
        <w:t>拓展高质量发展空间</w:t>
      </w:r>
    </w:p>
    <w:p>
      <w:pPr>
        <w:widowControl w:val="0"/>
        <w:overflowPunct w:val="0"/>
        <w:spacing w:after="0" w:line="600" w:lineRule="exact"/>
        <w:ind w:firstLine="642" w:firstLineChars="200"/>
        <w:rPr>
          <w:rFonts w:ascii="Times New Roman" w:hAnsi="Times New Roman" w:eastAsia="仿宋_GB2312"/>
          <w:sz w:val="32"/>
          <w:szCs w:val="32"/>
        </w:rPr>
      </w:pPr>
      <w:r>
        <w:rPr>
          <w:rFonts w:ascii="Times New Roman" w:hAnsi="Times New Roman" w:eastAsia="仿宋_GB2312"/>
          <w:b/>
          <w:bCs/>
          <w:sz w:val="32"/>
          <w:szCs w:val="32"/>
        </w:rPr>
        <w:t>做强农业特色产业。</w:t>
      </w:r>
      <w:r>
        <w:rPr>
          <w:rFonts w:ascii="Times New Roman" w:hAnsi="Times New Roman" w:eastAsia="仿宋_GB2312"/>
          <w:sz w:val="32"/>
          <w:szCs w:val="32"/>
        </w:rPr>
        <w:t>引导苗木经济向多元化升级，推广柏春葡萄、樟霞古树茶油等本土农产品</w:t>
      </w:r>
      <w:r>
        <w:rPr>
          <w:rFonts w:hint="eastAsia" w:ascii="Times New Roman" w:hAnsi="Times New Roman" w:eastAsia="仿宋_GB2312"/>
          <w:sz w:val="32"/>
          <w:szCs w:val="32"/>
        </w:rPr>
        <w:t>，提质徐家塘油菜花</w:t>
      </w:r>
      <w:r>
        <w:rPr>
          <w:rFonts w:ascii="Times New Roman" w:hAnsi="Times New Roman" w:eastAsia="仿宋_GB2312"/>
          <w:sz w:val="32"/>
          <w:szCs w:val="32"/>
        </w:rPr>
        <w:t>、“穿越荷塘”等特色品牌，打造文化休闲旅游荷塘名片。通过农田整治和种植结构调整，培育扶持种植大户，实施规模化经营，提高生产效益。强化土地支撑，总结设施农用地政策试点成果，积极探索集体建设用地合法规范使用模式，破解农业产业用地难题。稳妥推进农村集体产权制度改革，进一步明晰产权归属，壮大集体经济，全力激发乡村振兴内生动力。</w:t>
      </w:r>
    </w:p>
    <w:p>
      <w:pPr>
        <w:widowControl w:val="0"/>
        <w:overflowPunct w:val="0"/>
        <w:spacing w:after="0" w:line="600" w:lineRule="exact"/>
        <w:ind w:firstLine="642" w:firstLineChars="200"/>
        <w:rPr>
          <w:rFonts w:ascii="Times New Roman" w:hAnsi="Times New Roman" w:eastAsia="仿宋_GB2312"/>
          <w:sz w:val="32"/>
          <w:szCs w:val="32"/>
        </w:rPr>
      </w:pPr>
      <w:r>
        <w:rPr>
          <w:rFonts w:ascii="Times New Roman" w:hAnsi="Times New Roman" w:eastAsia="仿宋_GB2312"/>
          <w:b/>
          <w:bCs/>
          <w:sz w:val="32"/>
          <w:szCs w:val="32"/>
        </w:rPr>
        <w:t>加快重点项目建设。</w:t>
      </w:r>
      <w:r>
        <w:rPr>
          <w:rFonts w:ascii="Times New Roman" w:hAnsi="Times New Roman" w:eastAsia="仿宋_GB2312"/>
          <w:sz w:val="32"/>
          <w:szCs w:val="32"/>
        </w:rPr>
        <w:t>加速推进茶马线提质改造，打造精品乡村旅游公路。</w:t>
      </w:r>
      <w:r>
        <w:rPr>
          <w:rFonts w:hint="eastAsia" w:ascii="Times New Roman" w:hAnsi="Times New Roman" w:eastAsia="仿宋_GB2312"/>
          <w:sz w:val="32"/>
          <w:szCs w:val="32"/>
        </w:rPr>
        <w:t>加</w:t>
      </w:r>
      <w:r>
        <w:rPr>
          <w:rFonts w:ascii="Times New Roman" w:hAnsi="Times New Roman" w:eastAsia="仿宋_GB2312"/>
          <w:sz w:val="32"/>
          <w:szCs w:val="32"/>
        </w:rPr>
        <w:t>快完成仙庾片区自来水管网、仙庾污水处理厂等项目建设，完善农村片区基础设施。全力服务好中国仙庾</w:t>
      </w:r>
      <w:r>
        <w:rPr>
          <w:rFonts w:hint="eastAsia" w:ascii="Times New Roman" w:hAnsi="Times New Roman" w:eastAsia="仿宋_GB2312"/>
          <w:sz w:val="32"/>
          <w:szCs w:val="32"/>
        </w:rPr>
        <w:t>·</w:t>
      </w:r>
      <w:r>
        <w:rPr>
          <w:rFonts w:ascii="Times New Roman" w:hAnsi="Times New Roman" w:eastAsia="仿宋_GB2312"/>
          <w:sz w:val="32"/>
          <w:szCs w:val="32"/>
        </w:rPr>
        <w:t>耕食小镇项目建设，实现耕食书院、耕食家园、耕食墟集3个先导性项目建成运营，打造集农业生产、旅游休闲、教育培训、健康养老、田园社区、文创孵化于一体的文旅特色聚集区。</w:t>
      </w:r>
      <w:r>
        <w:rPr>
          <w:rFonts w:hint="eastAsia" w:ascii="Times New Roman" w:hAnsi="Times New Roman" w:eastAsia="仿宋_GB2312"/>
          <w:sz w:val="32"/>
          <w:szCs w:val="32"/>
        </w:rPr>
        <w:t>完成株洲青商会</w:t>
      </w:r>
      <w:r>
        <w:rPr>
          <w:rFonts w:ascii="Times New Roman" w:hAnsi="Times New Roman" w:eastAsia="仿宋_GB2312"/>
          <w:sz w:val="32"/>
          <w:szCs w:val="32"/>
        </w:rPr>
        <w:t>、亿都等</w:t>
      </w:r>
      <w:r>
        <w:rPr>
          <w:rFonts w:hint="eastAsia" w:ascii="Times New Roman" w:hAnsi="Times New Roman" w:eastAsia="仿宋_GB2312"/>
          <w:sz w:val="32"/>
          <w:szCs w:val="32"/>
        </w:rPr>
        <w:t>精品</w:t>
      </w:r>
      <w:r>
        <w:rPr>
          <w:rFonts w:ascii="Times New Roman" w:hAnsi="Times New Roman" w:eastAsia="仿宋_GB2312"/>
          <w:sz w:val="32"/>
          <w:szCs w:val="32"/>
        </w:rPr>
        <w:t>民宿建设，升级改造香荷生态农庄、龙溪庄园、霞山庄园等田园综合体，全力打造一批精品农家乐和家庭农场。</w:t>
      </w:r>
    </w:p>
    <w:p>
      <w:pPr>
        <w:widowControl w:val="0"/>
        <w:overflowPunct w:val="0"/>
        <w:spacing w:after="0" w:line="600" w:lineRule="exact"/>
        <w:ind w:firstLine="642" w:firstLineChars="200"/>
        <w:rPr>
          <w:rFonts w:ascii="Times New Roman" w:hAnsi="Times New Roman" w:eastAsia="楷体_GB2312"/>
          <w:b/>
          <w:bCs/>
          <w:sz w:val="32"/>
          <w:szCs w:val="32"/>
        </w:rPr>
      </w:pPr>
      <w:r>
        <w:rPr>
          <w:rFonts w:ascii="Times New Roman" w:hAnsi="Times New Roman" w:eastAsia="仿宋_GB2312"/>
          <w:b/>
          <w:bCs/>
          <w:sz w:val="32"/>
          <w:szCs w:val="32"/>
        </w:rPr>
        <w:t>建设生态宜居乡村。</w:t>
      </w:r>
      <w:r>
        <w:rPr>
          <w:rFonts w:hint="eastAsia" w:ascii="Times New Roman" w:hAnsi="Times New Roman" w:eastAsia="仿宋_GB2312"/>
          <w:sz w:val="32"/>
          <w:szCs w:val="32"/>
        </w:rPr>
        <w:t>大力实施农村人居环境整治三年行动，</w:t>
      </w:r>
      <w:r>
        <w:rPr>
          <w:rFonts w:ascii="Times New Roman" w:hAnsi="Times New Roman" w:eastAsia="仿宋_GB2312"/>
          <w:sz w:val="32"/>
          <w:szCs w:val="32"/>
        </w:rPr>
        <w:t>充分运用规划、设计成果，强化仙庾片区村庄建设管理，在茶马线沿线、黄塘集镇等重点部位，开展房前屋后路边等公共区域净化、美化、绿化行动。完善“村收集、镇转运、区处理”运行机制，大力整治存量垃圾，提高农村生活垃圾、农业生产废弃物治理能力</w:t>
      </w:r>
      <w:r>
        <w:rPr>
          <w:rFonts w:hint="eastAsia" w:ascii="Times New Roman" w:hAnsi="Times New Roman" w:eastAsia="仿宋_GB2312"/>
          <w:sz w:val="32"/>
          <w:szCs w:val="32"/>
        </w:rPr>
        <w:t>，</w:t>
      </w:r>
      <w:r>
        <w:rPr>
          <w:rFonts w:ascii="Times New Roman" w:hAnsi="Times New Roman" w:eastAsia="仿宋_GB2312"/>
          <w:sz w:val="32"/>
          <w:szCs w:val="32"/>
        </w:rPr>
        <w:t>提升环卫市场化水平。净化农村水环境，实施</w:t>
      </w:r>
      <w:r>
        <w:rPr>
          <w:rFonts w:hint="eastAsia" w:ascii="Times New Roman" w:hAnsi="Times New Roman" w:eastAsia="仿宋_GB2312"/>
          <w:sz w:val="32"/>
          <w:szCs w:val="32"/>
        </w:rPr>
        <w:t>农村</w:t>
      </w:r>
      <w:r>
        <w:rPr>
          <w:rFonts w:ascii="Times New Roman" w:hAnsi="Times New Roman" w:eastAsia="仿宋_GB2312"/>
          <w:sz w:val="32"/>
          <w:szCs w:val="32"/>
        </w:rPr>
        <w:t>“厕所革命”，推进水库养殖退出行动，基本消灭</w:t>
      </w:r>
      <w:r>
        <w:rPr>
          <w:rFonts w:hint="eastAsia" w:ascii="Times New Roman" w:hAnsi="Times New Roman" w:eastAsia="仿宋_GB2312"/>
          <w:sz w:val="32"/>
          <w:szCs w:val="32"/>
        </w:rPr>
        <w:t>农村</w:t>
      </w:r>
      <w:r>
        <w:rPr>
          <w:rFonts w:ascii="Times New Roman" w:hAnsi="Times New Roman" w:eastAsia="仿宋_GB2312"/>
          <w:sz w:val="32"/>
          <w:szCs w:val="32"/>
        </w:rPr>
        <w:t>黑臭水体。深入开展文明乡风建设，修订完善村规民约，破除陈规陋习，</w:t>
      </w:r>
      <w:r>
        <w:rPr>
          <w:rFonts w:hint="eastAsia" w:ascii="Times New Roman" w:hAnsi="Times New Roman" w:eastAsia="仿宋_GB2312"/>
          <w:sz w:val="32"/>
          <w:szCs w:val="32"/>
        </w:rPr>
        <w:t>开展“议家风、定家规、晒家训”等活动，</w:t>
      </w:r>
      <w:r>
        <w:rPr>
          <w:rFonts w:ascii="Times New Roman" w:hAnsi="Times New Roman" w:eastAsia="仿宋_GB2312"/>
          <w:sz w:val="32"/>
          <w:szCs w:val="32"/>
        </w:rPr>
        <w:t>培育淳朴向善的家风、民风</w:t>
      </w:r>
      <w:r>
        <w:rPr>
          <w:rFonts w:hint="eastAsia" w:ascii="Times New Roman" w:hAnsi="Times New Roman" w:eastAsia="仿宋_GB2312"/>
          <w:sz w:val="32"/>
          <w:szCs w:val="32"/>
        </w:rPr>
        <w:t>，</w:t>
      </w:r>
      <w:r>
        <w:rPr>
          <w:rFonts w:ascii="Times New Roman" w:hAnsi="Times New Roman" w:eastAsia="仿宋_GB2312"/>
          <w:sz w:val="32"/>
          <w:szCs w:val="32"/>
        </w:rPr>
        <w:t>为本土忠孝文化赋予更多时代内涵。</w:t>
      </w:r>
    </w:p>
    <w:p>
      <w:pPr>
        <w:widowControl w:val="0"/>
        <w:overflowPunct w:val="0"/>
        <w:spacing w:after="0" w:line="600" w:lineRule="exact"/>
        <w:ind w:firstLine="642" w:firstLineChars="200"/>
        <w:rPr>
          <w:rFonts w:ascii="Times New Roman" w:hAnsi="Times New Roman" w:eastAsia="仿宋_GB2312"/>
          <w:sz w:val="32"/>
          <w:szCs w:val="32"/>
        </w:rPr>
      </w:pPr>
      <w:r>
        <w:rPr>
          <w:rFonts w:ascii="Times New Roman" w:hAnsi="Times New Roman" w:eastAsia="楷体_GB2312"/>
          <w:b/>
          <w:bCs/>
          <w:sz w:val="32"/>
          <w:szCs w:val="32"/>
        </w:rPr>
        <w:t>（四）聚焦“三大攻坚”，继续补齐高质量发展短板</w:t>
      </w:r>
    </w:p>
    <w:p>
      <w:pPr>
        <w:widowControl w:val="0"/>
        <w:overflowPunct w:val="0"/>
        <w:spacing w:after="0" w:line="600" w:lineRule="exact"/>
        <w:ind w:firstLine="642" w:firstLineChars="200"/>
        <w:rPr>
          <w:rFonts w:ascii="Times New Roman" w:hAnsi="Times New Roman" w:eastAsia="仿宋_GB2312"/>
          <w:sz w:val="32"/>
          <w:szCs w:val="32"/>
        </w:rPr>
      </w:pPr>
      <w:bookmarkStart w:id="0" w:name="_Hlk533689749"/>
      <w:r>
        <w:rPr>
          <w:rFonts w:ascii="Times New Roman" w:hAnsi="Times New Roman" w:eastAsia="仿宋_GB2312"/>
          <w:b/>
          <w:bCs/>
          <w:sz w:val="32"/>
          <w:szCs w:val="32"/>
        </w:rPr>
        <w:t>从严防控债务风险。</w:t>
      </w:r>
      <w:r>
        <w:rPr>
          <w:rFonts w:hint="eastAsia" w:ascii="Times New Roman" w:hAnsi="Times New Roman" w:eastAsia="仿宋_GB2312"/>
          <w:sz w:val="32"/>
          <w:szCs w:val="32"/>
        </w:rPr>
        <w:t>坚持</w:t>
      </w:r>
      <w:r>
        <w:rPr>
          <w:rFonts w:ascii="Times New Roman" w:hAnsi="Times New Roman" w:eastAsia="仿宋_GB2312"/>
          <w:sz w:val="32"/>
          <w:szCs w:val="32"/>
        </w:rPr>
        <w:t>控增量、去存量、促转型、守底线</w:t>
      </w:r>
      <w:r>
        <w:rPr>
          <w:rFonts w:hint="eastAsia" w:ascii="Times New Roman" w:hAnsi="Times New Roman" w:eastAsia="仿宋_GB2312"/>
          <w:sz w:val="32"/>
          <w:szCs w:val="32"/>
        </w:rPr>
        <w:t>，</w:t>
      </w:r>
      <w:r>
        <w:rPr>
          <w:rFonts w:ascii="Times New Roman" w:hAnsi="Times New Roman" w:eastAsia="仿宋_GB2312"/>
          <w:sz w:val="32"/>
          <w:szCs w:val="32"/>
        </w:rPr>
        <w:t>进一步加强债务测算和管理，按序实现化债目标。全力推进新桂城中村一片区地块二等9宗土地的出让</w:t>
      </w:r>
      <w:r>
        <w:rPr>
          <w:rFonts w:hint="eastAsia" w:ascii="Times New Roman" w:hAnsi="Times New Roman" w:eastAsia="仿宋_GB2312"/>
          <w:sz w:val="32"/>
          <w:szCs w:val="32"/>
        </w:rPr>
        <w:t>，依法依规处置盘活一批国有资产，</w:t>
      </w:r>
      <w:r>
        <w:rPr>
          <w:rFonts w:ascii="Times New Roman" w:hAnsi="Times New Roman" w:eastAsia="仿宋_GB2312"/>
          <w:sz w:val="32"/>
          <w:szCs w:val="32"/>
        </w:rPr>
        <w:t>加强政银企沟通协商与融资招商力度，通过展期、续贷等方式平滑偿债高峰，积极对接市场化融资，确保资金不断链。坚持开源节流并举，严控一般性支出，规范资金管理，严管项目编制和启动。加快推进区级平台公司转型提质，以市场化为导向，进一步完善制度、精简人员，逐步建立现代化管理体系，推动平台公司向产业性投融资转型，努力实现资金筹措、项目运营、融资偿还的良性运转。发挥应急处置机制作用，加</w:t>
      </w:r>
      <w:r>
        <w:rPr>
          <w:rFonts w:hint="eastAsia" w:ascii="Times New Roman" w:hAnsi="Times New Roman" w:eastAsia="仿宋_GB2312"/>
          <w:sz w:val="32"/>
          <w:szCs w:val="32"/>
        </w:rPr>
        <w:t>强</w:t>
      </w:r>
      <w:r>
        <w:rPr>
          <w:rFonts w:ascii="Times New Roman" w:hAnsi="Times New Roman" w:eastAsia="仿宋_GB2312"/>
          <w:sz w:val="32"/>
          <w:szCs w:val="32"/>
        </w:rPr>
        <w:t>债务风险监测</w:t>
      </w:r>
      <w:bookmarkEnd w:id="0"/>
      <w:r>
        <w:rPr>
          <w:rFonts w:hint="eastAsia" w:ascii="Times New Roman" w:hAnsi="Times New Roman" w:eastAsia="仿宋_GB2312"/>
          <w:sz w:val="32"/>
          <w:szCs w:val="32"/>
        </w:rPr>
        <w:t>，千方百计保民生、保运转、保重点</w:t>
      </w:r>
      <w:r>
        <w:rPr>
          <w:rFonts w:ascii="Times New Roman" w:hAnsi="Times New Roman" w:eastAsia="仿宋_GB2312"/>
          <w:sz w:val="32"/>
          <w:szCs w:val="32"/>
        </w:rPr>
        <w:t>。</w:t>
      </w:r>
    </w:p>
    <w:p>
      <w:pPr>
        <w:widowControl w:val="0"/>
        <w:overflowPunct w:val="0"/>
        <w:spacing w:after="0" w:line="600" w:lineRule="exact"/>
        <w:ind w:firstLine="642" w:firstLineChars="200"/>
        <w:rPr>
          <w:rFonts w:ascii="Times New Roman" w:hAnsi="Times New Roman" w:eastAsia="仿宋_GB2312"/>
          <w:sz w:val="32"/>
          <w:szCs w:val="32"/>
        </w:rPr>
      </w:pPr>
      <w:r>
        <w:rPr>
          <w:rFonts w:ascii="Times New Roman" w:hAnsi="Times New Roman" w:eastAsia="仿宋_GB2312"/>
          <w:b/>
          <w:bCs/>
          <w:sz w:val="32"/>
          <w:szCs w:val="32"/>
        </w:rPr>
        <w:t>精准开展城乡帮困。</w:t>
      </w:r>
      <w:r>
        <w:rPr>
          <w:rFonts w:hint="eastAsia" w:ascii="Times New Roman" w:hAnsi="Times New Roman" w:eastAsia="仿宋_GB2312"/>
          <w:bCs/>
          <w:sz w:val="32"/>
          <w:szCs w:val="32"/>
        </w:rPr>
        <w:t>积极</w:t>
      </w:r>
      <w:r>
        <w:rPr>
          <w:rFonts w:ascii="Times New Roman" w:hAnsi="Times New Roman" w:eastAsia="仿宋_GB2312"/>
          <w:sz w:val="32"/>
          <w:szCs w:val="32"/>
        </w:rPr>
        <w:t>探索城乡帮困新路径，继续深入开展城乡帮困大走访，对全区低保边缘户、困难户进行大摸排，分类摸清困难人群底数，精准识别困难对象。</w:t>
      </w:r>
      <w:r>
        <w:rPr>
          <w:rFonts w:hint="eastAsia" w:ascii="Times New Roman" w:hAnsi="Times New Roman" w:eastAsia="仿宋_GB2312"/>
          <w:sz w:val="32"/>
          <w:szCs w:val="32"/>
        </w:rPr>
        <w:t>坚持</w:t>
      </w:r>
      <w:r>
        <w:rPr>
          <w:rFonts w:ascii="Times New Roman" w:hAnsi="Times New Roman" w:eastAsia="仿宋_GB2312"/>
          <w:sz w:val="32"/>
          <w:szCs w:val="32"/>
        </w:rPr>
        <w:t>政府引导、公众参与、社会化运作，以镇办为单位，依托社会组织，组建一批专业的帮困小团队，结合养老、公卫服务等系列民生行动，</w:t>
      </w:r>
      <w:r>
        <w:rPr>
          <w:rFonts w:hint="eastAsia" w:ascii="Times New Roman" w:hAnsi="Times New Roman" w:eastAsia="仿宋_GB2312"/>
          <w:sz w:val="32"/>
          <w:szCs w:val="32"/>
        </w:rPr>
        <w:t>根据困难群体不同的帮扶需求，</w:t>
      </w:r>
      <w:r>
        <w:rPr>
          <w:rFonts w:ascii="Times New Roman" w:hAnsi="Times New Roman" w:eastAsia="仿宋_GB2312"/>
          <w:sz w:val="32"/>
          <w:szCs w:val="32"/>
        </w:rPr>
        <w:t>运作一批切实可行的帮扶项目，多措并举</w:t>
      </w:r>
      <w:r>
        <w:rPr>
          <w:rFonts w:hint="eastAsia" w:ascii="Times New Roman" w:hAnsi="Times New Roman" w:eastAsia="仿宋_GB2312"/>
          <w:sz w:val="32"/>
          <w:szCs w:val="32"/>
        </w:rPr>
        <w:t>完善</w:t>
      </w:r>
      <w:r>
        <w:rPr>
          <w:rFonts w:ascii="Times New Roman" w:hAnsi="Times New Roman" w:eastAsia="仿宋_GB2312"/>
          <w:sz w:val="32"/>
          <w:szCs w:val="32"/>
        </w:rPr>
        <w:t>帮扶机制，精准帮扶各类困难群体。</w:t>
      </w:r>
      <w:r>
        <w:rPr>
          <w:rFonts w:hint="eastAsia" w:ascii="Times New Roman" w:hAnsi="Times New Roman" w:eastAsia="仿宋_GB2312"/>
          <w:sz w:val="32"/>
          <w:szCs w:val="32"/>
        </w:rPr>
        <w:t>按照边探索边总结、先试点再铺开的思路，</w:t>
      </w:r>
      <w:r>
        <w:rPr>
          <w:rFonts w:ascii="Times New Roman" w:hAnsi="Times New Roman" w:eastAsia="仿宋_GB2312"/>
          <w:sz w:val="32"/>
          <w:szCs w:val="32"/>
        </w:rPr>
        <w:t>深入推进宋家桥街道、茨菇塘街道城</w:t>
      </w:r>
      <w:r>
        <w:rPr>
          <w:rFonts w:hint="eastAsia" w:ascii="Times New Roman" w:hAnsi="Times New Roman" w:eastAsia="仿宋_GB2312"/>
          <w:sz w:val="32"/>
          <w:szCs w:val="32"/>
        </w:rPr>
        <w:t>乡</w:t>
      </w:r>
      <w:r>
        <w:rPr>
          <w:rFonts w:ascii="Times New Roman" w:hAnsi="Times New Roman" w:eastAsia="仿宋_GB2312"/>
          <w:sz w:val="32"/>
          <w:szCs w:val="32"/>
        </w:rPr>
        <w:t>帮困工作试点，坚定方向、完善细节，适时有序在全区铺开</w:t>
      </w:r>
      <w:r>
        <w:rPr>
          <w:rFonts w:hint="eastAsia" w:ascii="Times New Roman" w:hAnsi="Times New Roman" w:eastAsia="仿宋_GB2312"/>
          <w:sz w:val="32"/>
          <w:szCs w:val="32"/>
        </w:rPr>
        <w:t>。加大宣传引导力度，提高大众知晓率、参与度，通过帮扶一批、带动一批，促成互帮互助的良好氛围。</w:t>
      </w:r>
    </w:p>
    <w:p>
      <w:pPr>
        <w:widowControl w:val="0"/>
        <w:overflowPunct w:val="0"/>
        <w:spacing w:after="0" w:line="600" w:lineRule="exact"/>
        <w:ind w:firstLine="642" w:firstLineChars="200"/>
        <w:rPr>
          <w:rFonts w:ascii="Times New Roman" w:hAnsi="Times New Roman" w:eastAsia="楷体_GB2312"/>
          <w:b/>
          <w:bCs/>
          <w:sz w:val="32"/>
          <w:szCs w:val="32"/>
        </w:rPr>
      </w:pPr>
      <w:r>
        <w:rPr>
          <w:rFonts w:ascii="Times New Roman" w:hAnsi="Times New Roman" w:eastAsia="仿宋_GB2312"/>
          <w:b/>
          <w:bCs/>
          <w:sz w:val="32"/>
          <w:szCs w:val="32"/>
        </w:rPr>
        <w:t>持续强化污染防治。</w:t>
      </w:r>
      <w:r>
        <w:rPr>
          <w:rFonts w:hint="eastAsia" w:ascii="Times New Roman" w:hAnsi="Times New Roman" w:eastAsia="仿宋_GB2312"/>
          <w:sz w:val="32"/>
          <w:szCs w:val="32"/>
        </w:rPr>
        <w:t>充分发挥区生态文明建设暨污染防治攻坚战指挥部及办公室作用，统筹环保力量，建立长效机制。</w:t>
      </w:r>
      <w:r>
        <w:rPr>
          <w:rFonts w:ascii="Times New Roman" w:hAnsi="Times New Roman" w:eastAsia="仿宋_GB2312"/>
          <w:sz w:val="32"/>
          <w:szCs w:val="32"/>
        </w:rPr>
        <w:t>持续</w:t>
      </w:r>
      <w:r>
        <w:rPr>
          <w:rFonts w:hint="eastAsia" w:ascii="Times New Roman" w:hAnsi="Times New Roman" w:eastAsia="仿宋_GB2312"/>
          <w:spacing w:val="-6"/>
          <w:sz w:val="32"/>
          <w:szCs w:val="32"/>
        </w:rPr>
        <w:t>抓好中央、省环保督察反馈问题整改，深化“蓝天、碧水、净土”行</w:t>
      </w:r>
      <w:r>
        <w:rPr>
          <w:rFonts w:hint="eastAsia" w:ascii="Times New Roman" w:hAnsi="Times New Roman" w:eastAsia="仿宋_GB2312"/>
          <w:spacing w:val="-11"/>
          <w:sz w:val="32"/>
          <w:szCs w:val="32"/>
        </w:rPr>
        <w:t>动，实现生态环境治理常态化。积极推进大气污染防治，开展“散乱</w:t>
      </w:r>
      <w:r>
        <w:rPr>
          <w:rFonts w:ascii="Times New Roman" w:hAnsi="Times New Roman" w:eastAsia="仿宋_GB2312"/>
          <w:sz w:val="32"/>
          <w:szCs w:val="32"/>
        </w:rPr>
        <w:t>污”企业、建筑扬尘、餐厨油烟、工业废气、垃圾焚烧等专项整治行动，打赢蓝天保卫战。实行最严格的水资源管理制度，坚决落实“河长制”工作职责，将环保网格化监管延伸到水面</w:t>
      </w:r>
      <w:r>
        <w:rPr>
          <w:rFonts w:hint="eastAsia" w:ascii="Times New Roman" w:hAnsi="Times New Roman" w:eastAsia="仿宋_GB2312"/>
          <w:sz w:val="32"/>
          <w:szCs w:val="32"/>
        </w:rPr>
        <w:t>。</w:t>
      </w:r>
      <w:r>
        <w:rPr>
          <w:rFonts w:ascii="Times New Roman" w:hAnsi="Times New Roman" w:eastAsia="仿宋_GB2312"/>
          <w:sz w:val="32"/>
          <w:szCs w:val="32"/>
        </w:rPr>
        <w:t>大力实施水污染防治，</w:t>
      </w:r>
      <w:r>
        <w:rPr>
          <w:rFonts w:hint="eastAsia" w:ascii="Times New Roman" w:hAnsi="Times New Roman" w:eastAsia="仿宋_GB2312"/>
          <w:sz w:val="32"/>
          <w:szCs w:val="32"/>
        </w:rPr>
        <w:t>加强饮用水源保护，</w:t>
      </w:r>
      <w:r>
        <w:rPr>
          <w:rFonts w:ascii="Times New Roman" w:hAnsi="Times New Roman" w:eastAsia="仿宋_GB2312"/>
          <w:sz w:val="32"/>
          <w:szCs w:val="32"/>
        </w:rPr>
        <w:t>深入开展湘江保护和治理“第三个三年行动计划”，积极推进建宁港、白石港黑臭水体整治</w:t>
      </w:r>
      <w:r>
        <w:rPr>
          <w:rFonts w:hint="eastAsia" w:ascii="Times New Roman" w:hAnsi="Times New Roman" w:eastAsia="仿宋_GB2312"/>
          <w:sz w:val="32"/>
          <w:szCs w:val="32"/>
        </w:rPr>
        <w:t>，</w:t>
      </w:r>
      <w:r>
        <w:rPr>
          <w:rFonts w:ascii="Times New Roman" w:hAnsi="Times New Roman" w:eastAsia="仿宋_GB2312"/>
          <w:sz w:val="32"/>
          <w:szCs w:val="32"/>
        </w:rPr>
        <w:t>着力打好碧水保卫战。</w:t>
      </w:r>
    </w:p>
    <w:p>
      <w:pPr>
        <w:widowControl w:val="0"/>
        <w:overflowPunct w:val="0"/>
        <w:spacing w:after="0" w:line="600" w:lineRule="exact"/>
        <w:ind w:firstLine="642" w:firstLineChars="200"/>
        <w:rPr>
          <w:rFonts w:ascii="Times New Roman" w:hAnsi="Times New Roman" w:eastAsia="仿宋_GB2312"/>
          <w:color w:val="FF0000"/>
          <w:sz w:val="32"/>
          <w:szCs w:val="32"/>
        </w:rPr>
      </w:pPr>
      <w:r>
        <w:rPr>
          <w:rFonts w:ascii="Times New Roman" w:hAnsi="Times New Roman" w:eastAsia="楷体_GB2312"/>
          <w:b/>
          <w:bCs/>
          <w:sz w:val="32"/>
          <w:szCs w:val="32"/>
        </w:rPr>
        <w:t>（五）坚持民生优先，全民共享高质量发展成果</w:t>
      </w:r>
    </w:p>
    <w:p>
      <w:pPr>
        <w:widowControl w:val="0"/>
        <w:overflowPunct w:val="0"/>
        <w:spacing w:after="0" w:line="600" w:lineRule="exact"/>
        <w:ind w:firstLine="642" w:firstLineChars="200"/>
        <w:rPr>
          <w:rFonts w:ascii="Times New Roman" w:hAnsi="Times New Roman" w:eastAsia="仿宋_GB2312"/>
          <w:sz w:val="32"/>
          <w:szCs w:val="32"/>
        </w:rPr>
      </w:pPr>
      <w:r>
        <w:rPr>
          <w:rFonts w:ascii="Times New Roman" w:hAnsi="Times New Roman" w:eastAsia="仿宋_GB2312"/>
          <w:b/>
          <w:bCs/>
          <w:sz w:val="32"/>
          <w:szCs w:val="32"/>
        </w:rPr>
        <w:t>完善社会保障体系。</w:t>
      </w:r>
      <w:r>
        <w:rPr>
          <w:rFonts w:ascii="Times New Roman" w:hAnsi="Times New Roman" w:eastAsia="仿宋_GB2312"/>
          <w:sz w:val="32"/>
          <w:szCs w:val="32"/>
        </w:rPr>
        <w:t>统筹推进“民生100”工程，强化民生兜底保障。做实公共就业服务平台，全年力争新增城镇就业8000人，新增农村劳动力转移就业300人，保持“零就业家庭”动态援助100%，城镇登记失业率控制在4.5%以内。加大就业创业扶持力度，积极发挥基层公共就业服务平台作用，建立企业用工信息、求职人员信息登记网络，为供需双方对接搭建有效平台。健全“治欠保支”长效机制，全面治理拖欠农民工工资问题。推进全民参保计划，进一步提高基本养老保险参保率。健全低保标准增长机制，完善落实社会救助、临时救助、特困人员救助等制度。</w:t>
      </w:r>
    </w:p>
    <w:p>
      <w:pPr>
        <w:widowControl w:val="0"/>
        <w:overflowPunct w:val="0"/>
        <w:spacing w:after="0" w:line="600" w:lineRule="exact"/>
        <w:ind w:firstLine="642" w:firstLineChars="200"/>
        <w:rPr>
          <w:rFonts w:ascii="Times New Roman" w:hAnsi="Times New Roman" w:eastAsia="仿宋_GB2312"/>
          <w:sz w:val="32"/>
          <w:szCs w:val="32"/>
        </w:rPr>
      </w:pPr>
      <w:r>
        <w:rPr>
          <w:rFonts w:ascii="Times New Roman" w:hAnsi="Times New Roman" w:eastAsia="仿宋_GB2312"/>
          <w:b/>
          <w:bCs/>
          <w:sz w:val="32"/>
          <w:szCs w:val="32"/>
        </w:rPr>
        <w:t>统筹社会事业发展。</w:t>
      </w:r>
      <w:r>
        <w:rPr>
          <w:rFonts w:ascii="Times New Roman" w:hAnsi="Times New Roman" w:eastAsia="仿宋_GB2312"/>
          <w:sz w:val="32"/>
          <w:szCs w:val="32"/>
        </w:rPr>
        <w:t>探索县级领导联系学校制度，深化小学教育集团化办学，积极引导社会资本办学，推进标准化与特色化办学，争创全国校园足球试点区，塑造“学在荷塘”品牌。加大“大班额”化解力度，通过学校新建和改扩建，力争新增学位2300个，将大班额率控制在4%以内。聚焦学前教育“入园难、入园贵”问题，大力发展公办园，启动明照幼儿园、仙庾幼儿园、601幼儿园改扩建，进一步扩大普惠性幼儿园覆盖面。深入实施文化惠民工程，继续举办“欢乐潇湘”等群众喜闻乐见的文体活动，切实满足人民群众日益增长的精神文化需求。推进健康荷塘建设，巩固家庭医生签约成果，完善基层医务人员激励机制，切实提高一线医务人员积极性，全力提升家庭医生履约率、首诊率、服务量。健全医疗人才培养体系，加强全科医生队伍建设，进一步落实基层首诊分级诊疗制度，提高基层医疗水平。</w:t>
      </w:r>
    </w:p>
    <w:p>
      <w:pPr>
        <w:widowControl w:val="0"/>
        <w:overflowPunct w:val="0"/>
        <w:spacing w:after="0" w:line="600" w:lineRule="exact"/>
        <w:ind w:firstLine="642" w:firstLineChars="200"/>
        <w:rPr>
          <w:rFonts w:ascii="Times New Roman" w:hAnsi="Times New Roman" w:eastAsia="仿宋_GB2312"/>
          <w:sz w:val="32"/>
          <w:szCs w:val="32"/>
        </w:rPr>
      </w:pPr>
      <w:r>
        <w:rPr>
          <w:rFonts w:ascii="Times New Roman" w:hAnsi="Times New Roman" w:eastAsia="仿宋_GB2312"/>
          <w:b/>
          <w:bCs/>
          <w:sz w:val="32"/>
          <w:szCs w:val="32"/>
        </w:rPr>
        <w:t>提升社会治理能力。</w:t>
      </w:r>
      <w:r>
        <w:rPr>
          <w:rFonts w:ascii="Times New Roman" w:hAnsi="Times New Roman" w:eastAsia="仿宋_GB2312"/>
          <w:sz w:val="32"/>
          <w:szCs w:val="32"/>
        </w:rPr>
        <w:t>大力推进“城乡统筹</w:t>
      </w:r>
      <w:r>
        <w:rPr>
          <w:rFonts w:hint="eastAsia" w:ascii="Times New Roman" w:hAnsi="Times New Roman" w:eastAsia="仿宋_GB2312"/>
          <w:sz w:val="32"/>
          <w:szCs w:val="32"/>
        </w:rPr>
        <w:t>·</w:t>
      </w:r>
      <w:r>
        <w:rPr>
          <w:rFonts w:ascii="Times New Roman" w:hAnsi="Times New Roman" w:eastAsia="仿宋_GB2312"/>
          <w:sz w:val="32"/>
          <w:szCs w:val="32"/>
        </w:rPr>
        <w:t>幸福株洲”创新社会治理系列行动，切实增强人民群众的获得感、幸福感、安全感。做专、做精、做深“三社联动”。研究出台社会组织、社工、志愿者管理办法，进一步加强社工及志愿者队伍管理</w:t>
      </w:r>
      <w:r>
        <w:rPr>
          <w:rFonts w:hint="eastAsia" w:ascii="Times New Roman" w:hAnsi="Times New Roman" w:eastAsia="仿宋_GB2312"/>
          <w:sz w:val="32"/>
          <w:szCs w:val="32"/>
        </w:rPr>
        <w:t>，精心策划、组织、实施好各类微公益项目</w:t>
      </w:r>
      <w:r>
        <w:rPr>
          <w:rFonts w:ascii="Times New Roman" w:hAnsi="Times New Roman" w:eastAsia="仿宋_GB2312"/>
          <w:sz w:val="32"/>
          <w:szCs w:val="32"/>
        </w:rPr>
        <w:t>。扩面提质养老服务。整合社区闲置资源、盘活闲置国有资产，年内新建社区居家养老服务中心6个。探索引入市场竞争机制，提升区居家养老信息服务平台利用率、活跃度，全力打造</w:t>
      </w:r>
      <w:r>
        <w:rPr>
          <w:rFonts w:hint="eastAsia" w:ascii="Times New Roman" w:hAnsi="Times New Roman" w:eastAsia="仿宋_GB2312"/>
          <w:sz w:val="32"/>
          <w:szCs w:val="32"/>
        </w:rPr>
        <w:t>“</w:t>
      </w:r>
      <w:r>
        <w:rPr>
          <w:rFonts w:ascii="Times New Roman" w:hAnsi="Times New Roman" w:eastAsia="仿宋_GB2312"/>
          <w:sz w:val="32"/>
          <w:szCs w:val="32"/>
        </w:rPr>
        <w:t>没有围墙的养老院</w:t>
      </w:r>
      <w:r>
        <w:rPr>
          <w:rFonts w:hint="eastAsia" w:ascii="Times New Roman" w:hAnsi="Times New Roman" w:eastAsia="仿宋_GB2312"/>
          <w:sz w:val="32"/>
          <w:szCs w:val="32"/>
        </w:rPr>
        <w:t>”</w:t>
      </w:r>
      <w:r>
        <w:rPr>
          <w:rFonts w:ascii="Times New Roman" w:hAnsi="Times New Roman" w:eastAsia="仿宋_GB2312"/>
          <w:sz w:val="32"/>
          <w:szCs w:val="32"/>
        </w:rPr>
        <w:t>。推广仙庾敬老院公建民营管理模式，实现优质养老服务向农村覆盖。稳点扩面无物业管理小区业主自治。不断巩固自治试点小区成果，因地制宜扩大试点范围，提升自治覆盖率。培育2-3家本土优质物业企业，努力推进无物业管理向有物业管理转变。深入推进微信创新群众工作。着力提高现有微信群活跃度，制定有进有出的“活水”机制，新推选一批高素质群主盟主。提升“在荷塘”公众号内容创作水平，提高微信问题收集和办理效率。全力打好扫黑除恶专项斗争和禁毒人民战争，继续推进“雪亮工程”建设。落实重点安全隐患治理“一单四制”，完善应急管理、风险防控和安全生产监管体系。深入开展国家食品安全示范城市创建，强化食品安全监管，加大打击处罚力度，坚决把好饮食用药安全的每一道关口。加强国防教育、动员和后备力量建设，切实做好双拥共建、优抚安置、退役军人服务管理等工作。</w:t>
      </w:r>
    </w:p>
    <w:p>
      <w:pPr>
        <w:widowControl w:val="0"/>
        <w:overflowPunct w:val="0"/>
        <w:spacing w:after="0"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三、全面加强政府自身建设</w:t>
      </w:r>
    </w:p>
    <w:p>
      <w:pPr>
        <w:widowControl w:val="0"/>
        <w:overflowPunct w:val="0"/>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位代表！三分战略，七分执行。执行力是政府的生命力，执行力也决定落实能力、服务能力。面对新形势、新挑战，我们要始终坚持以人民为中心，在创造性贯彻落实中增强政府执行力，奋力打造人民更加满意的服务型政府。</w:t>
      </w:r>
    </w:p>
    <w:p>
      <w:pPr>
        <w:widowControl w:val="0"/>
        <w:overflowPunct w:val="0"/>
        <w:spacing w:after="0" w:line="600" w:lineRule="exact"/>
        <w:ind w:firstLine="642" w:firstLineChars="200"/>
        <w:rPr>
          <w:rFonts w:ascii="Times New Roman" w:hAnsi="Times New Roman" w:eastAsia="仿宋_GB2312"/>
          <w:b/>
          <w:bCs/>
          <w:sz w:val="32"/>
          <w:szCs w:val="32"/>
        </w:rPr>
      </w:pPr>
      <w:r>
        <w:rPr>
          <w:rFonts w:ascii="Times New Roman" w:hAnsi="Times New Roman" w:eastAsia="楷体_GB2312"/>
          <w:b/>
          <w:bCs/>
          <w:sz w:val="32"/>
          <w:szCs w:val="32"/>
        </w:rPr>
        <w:t>以政治建设锻造执行力。</w:t>
      </w:r>
      <w:r>
        <w:rPr>
          <w:rFonts w:ascii="Times New Roman" w:hAnsi="Times New Roman" w:eastAsia="仿宋_GB2312"/>
          <w:sz w:val="32"/>
          <w:szCs w:val="32"/>
        </w:rPr>
        <w:t>坚持用习近平新时代中国特色社会主义思想指导实践，牢固树立“四个意识”，坚决做到“两个维护”，严守政治纪律、政治规矩，持续推进“两学一做”学习教育和“不忘初心、牢记使命”主题教育。坚决按照中央、省、市和区委的决策部署抓工作、办事情、谋发展，积极落实区委加强政治建设的若干规定，全面保障政令畅通、令行禁止，自觉维护荷塘区“和”与“正”的政治生态。</w:t>
      </w:r>
    </w:p>
    <w:p>
      <w:pPr>
        <w:widowControl w:val="0"/>
        <w:overflowPunct w:val="0"/>
        <w:spacing w:after="0" w:line="600" w:lineRule="exact"/>
        <w:ind w:firstLine="642" w:firstLineChars="200"/>
        <w:rPr>
          <w:rFonts w:ascii="Times New Roman" w:hAnsi="Times New Roman" w:eastAsia="仿宋_GB2312"/>
          <w:sz w:val="32"/>
          <w:szCs w:val="32"/>
        </w:rPr>
      </w:pPr>
      <w:r>
        <w:rPr>
          <w:rFonts w:ascii="Times New Roman" w:hAnsi="Times New Roman" w:eastAsia="楷体_GB2312"/>
          <w:b/>
          <w:bCs/>
          <w:sz w:val="32"/>
          <w:szCs w:val="32"/>
        </w:rPr>
        <w:t>以务实担当提升执行力。</w:t>
      </w:r>
      <w:r>
        <w:rPr>
          <w:rFonts w:ascii="Times New Roman" w:hAnsi="Times New Roman" w:eastAsia="仿宋_GB2312"/>
          <w:sz w:val="32"/>
          <w:szCs w:val="32"/>
        </w:rPr>
        <w:t>始终保持攻坚克难的拼劲、久久为功的韧劲，创造性贯彻上级决策部署，说了的坚决做到，定了的坚决执行。大力推行</w:t>
      </w:r>
      <w:r>
        <w:rPr>
          <w:rFonts w:hint="eastAsia" w:ascii="Times New Roman" w:hAnsi="Times New Roman" w:eastAsia="仿宋_GB2312"/>
          <w:sz w:val="32"/>
          <w:szCs w:val="32"/>
        </w:rPr>
        <w:t>“</w:t>
      </w:r>
      <w:r>
        <w:rPr>
          <w:rFonts w:ascii="Times New Roman" w:hAnsi="Times New Roman" w:eastAsia="仿宋_GB2312"/>
          <w:sz w:val="32"/>
          <w:szCs w:val="32"/>
        </w:rPr>
        <w:t>一线工作法</w:t>
      </w:r>
      <w:r>
        <w:rPr>
          <w:rFonts w:hint="eastAsia" w:ascii="Times New Roman" w:hAnsi="Times New Roman" w:eastAsia="仿宋_GB2312"/>
          <w:sz w:val="32"/>
          <w:szCs w:val="32"/>
        </w:rPr>
        <w:t>”</w:t>
      </w:r>
      <w:r>
        <w:rPr>
          <w:rFonts w:ascii="Times New Roman" w:hAnsi="Times New Roman" w:eastAsia="仿宋_GB2312"/>
          <w:sz w:val="32"/>
          <w:szCs w:val="32"/>
        </w:rPr>
        <w:t>，做到问题在一线发现、工作在一线推动、矛盾在一线解决。严格政府目标管理，将各项工作细化、量化、清单化，把各项任务落实到每个月、每一天，落实到每个单位、每个人，实行倒排时间，挂图作战。同时，要用好绩效评估，确保压力传导，加强正向激励，提高行政效能。</w:t>
      </w:r>
    </w:p>
    <w:p>
      <w:pPr>
        <w:widowControl w:val="0"/>
        <w:overflowPunct w:val="0"/>
        <w:spacing w:after="0" w:line="600" w:lineRule="exact"/>
        <w:ind w:firstLine="642" w:firstLineChars="200"/>
        <w:rPr>
          <w:rFonts w:ascii="Times New Roman" w:hAnsi="Times New Roman" w:eastAsia="仿宋_GB2312"/>
          <w:sz w:val="32"/>
          <w:szCs w:val="32"/>
        </w:rPr>
      </w:pPr>
      <w:r>
        <w:rPr>
          <w:rFonts w:ascii="Times New Roman" w:hAnsi="Times New Roman" w:eastAsia="楷体_GB2312"/>
          <w:b/>
          <w:bCs/>
          <w:sz w:val="32"/>
          <w:szCs w:val="32"/>
        </w:rPr>
        <w:t>以法治思维强化执行力。</w:t>
      </w:r>
      <w:r>
        <w:rPr>
          <w:rFonts w:ascii="Times New Roman" w:hAnsi="Times New Roman" w:eastAsia="仿宋_GB2312"/>
          <w:sz w:val="32"/>
          <w:szCs w:val="32"/>
        </w:rPr>
        <w:t>加强法治政府建设，严格按照法定权限、法定程序履行职责，落实“三重一大”决策机制，坚持依法、规范、高效行政，严格、公开、文明执法。自觉接受区人大及其常委会的法律监督、工作监督和区政协民主监督，高质量办理人大代表建议和政协委员提案，落实重大事项向区人大常委会报告</w:t>
      </w:r>
      <w:r>
        <w:rPr>
          <w:rFonts w:hint="eastAsia" w:ascii="Times New Roman" w:hAnsi="Times New Roman" w:eastAsia="仿宋_GB2312"/>
          <w:sz w:val="32"/>
          <w:szCs w:val="32"/>
        </w:rPr>
        <w:t>、</w:t>
      </w:r>
      <w:r>
        <w:rPr>
          <w:rFonts w:hint="eastAsia" w:ascii="Times New Roman" w:hAnsi="Times New Roman" w:eastAsia="仿宋_GB2312"/>
          <w:spacing w:val="-11"/>
          <w:sz w:val="32"/>
          <w:szCs w:val="32"/>
        </w:rPr>
        <w:t>向区政协通报制度。全面推进政务公开，让行政权力公开透明运行。</w:t>
      </w:r>
    </w:p>
    <w:p>
      <w:pPr>
        <w:widowControl w:val="0"/>
        <w:overflowPunct w:val="0"/>
        <w:spacing w:after="0" w:line="600" w:lineRule="exact"/>
        <w:ind w:firstLine="642" w:firstLineChars="200"/>
        <w:rPr>
          <w:rFonts w:ascii="Times New Roman" w:hAnsi="Times New Roman" w:eastAsia="仿宋_GB2312"/>
          <w:sz w:val="32"/>
          <w:szCs w:val="32"/>
        </w:rPr>
      </w:pPr>
      <w:r>
        <w:rPr>
          <w:rFonts w:ascii="Times New Roman" w:hAnsi="Times New Roman" w:eastAsia="楷体_GB2312"/>
          <w:b/>
          <w:bCs/>
          <w:sz w:val="32"/>
          <w:szCs w:val="32"/>
        </w:rPr>
        <w:t>以清廉守正保障执行力。</w:t>
      </w:r>
      <w:r>
        <w:rPr>
          <w:rFonts w:ascii="Times New Roman" w:hAnsi="Times New Roman" w:eastAsia="仿宋_GB2312"/>
          <w:sz w:val="32"/>
          <w:szCs w:val="32"/>
        </w:rPr>
        <w:t>严格落实全面从严治党要求，认真履行党风廉政建设主体责任制和“一岗双责”，坚决贯彻中央八项规定精神，驰而不息纠“四风”、树新风。强化对权力运行的监督管理，进一步规范财政性资金和社会公共资金管理。强化制度建设，深化土地出让、工程招投标、政府采购等重点领域的廉政体系建设，从源头上预防腐败。牢固树立过“紧日子”的思想，坚持勤俭办事，大力缩减一般性开支，努力降低行政成本，树立干部清正、政府清廉、政治清明的良好形象。</w:t>
      </w:r>
    </w:p>
    <w:p>
      <w:pPr>
        <w:widowControl w:val="0"/>
        <w:overflowPunct w:val="0"/>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各位代表！荷塘在奋进，追梦正当时。让我们紧密团结在以习近平同志为核心的党中央周围，在市委、市政府和区委的坚强领导下，以更坚定的决心、更积极的作为、更务实的担当，加快高质量建</w:t>
      </w:r>
      <w:r>
        <w:rPr>
          <w:rFonts w:hint="eastAsia" w:ascii="Times New Roman" w:hAnsi="Times New Roman" w:eastAsia="仿宋_GB2312"/>
          <w:sz w:val="32"/>
          <w:szCs w:val="32"/>
        </w:rPr>
        <w:t>设</w:t>
      </w:r>
      <w:r>
        <w:rPr>
          <w:rFonts w:ascii="Times New Roman" w:hAnsi="Times New Roman" w:eastAsia="仿宋_GB2312"/>
          <w:sz w:val="32"/>
          <w:szCs w:val="32"/>
        </w:rPr>
        <w:t>实力、活力、宜居的幸福新荷塘步伐，以优异成绩庆祝中华人民共和国成立70周年！</w:t>
      </w:r>
    </w:p>
    <w:p>
      <w:pPr>
        <w:widowControl w:val="0"/>
        <w:overflowPunct w:val="0"/>
        <w:spacing w:after="0" w:line="600" w:lineRule="exact"/>
        <w:ind w:firstLine="640" w:firstLineChars="200"/>
        <w:rPr>
          <w:rFonts w:ascii="Times New Roman" w:hAnsi="Times New Roman" w:eastAsia="仿宋_GB2312"/>
          <w:sz w:val="32"/>
          <w:szCs w:val="32"/>
        </w:rPr>
      </w:pPr>
    </w:p>
    <w:p>
      <w:pPr>
        <w:widowControl w:val="0"/>
        <w:spacing w:after="0" w:line="600" w:lineRule="exact"/>
        <w:ind w:firstLine="640" w:firstLineChars="200"/>
        <w:rPr>
          <w:rFonts w:ascii="黑体" w:hAnsi="黑体" w:eastAsia="黑体" w:cs="黑体"/>
          <w:bCs/>
          <w:kern w:val="2"/>
          <w:sz w:val="32"/>
          <w:szCs w:val="32"/>
        </w:rPr>
      </w:pPr>
      <w:r>
        <w:rPr>
          <w:rFonts w:hint="eastAsia" w:ascii="黑体" w:hAnsi="黑体" w:eastAsia="黑体" w:cs="黑体"/>
          <w:bCs/>
          <w:kern w:val="2"/>
          <w:sz w:val="32"/>
          <w:szCs w:val="32"/>
        </w:rPr>
        <w:t>名词解释：</w:t>
      </w:r>
    </w:p>
    <w:p>
      <w:pPr>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1.“城乡统筹</w:t>
      </w:r>
      <w:r>
        <w:rPr>
          <w:rFonts w:hint="eastAsia" w:ascii="Times New Roman" w:hAnsi="Times New Roman" w:eastAsia="仿宋_GB2312"/>
          <w:sz w:val="32"/>
          <w:szCs w:val="32"/>
        </w:rPr>
        <w:t>·</w:t>
      </w:r>
      <w:r>
        <w:rPr>
          <w:rFonts w:ascii="Times New Roman" w:hAnsi="Times New Roman" w:eastAsia="仿宋_GB2312"/>
          <w:sz w:val="32"/>
          <w:szCs w:val="32"/>
        </w:rPr>
        <w:t>幸福株洲”创新社会治理系列行动（P3）：市委、市政府为加速建成城乡统筹幸福区，打造共建共治共享的社会治理格局，决定在全市推广荷塘区以网上群众路线、“三社联动”、养老服务、基本公共卫生服务、无物业管理小区业主自治为主要内容的</w:t>
      </w:r>
      <w:r>
        <w:rPr>
          <w:rFonts w:hint="eastAsia" w:ascii="Times New Roman" w:hAnsi="Times New Roman" w:eastAsia="仿宋_GB2312"/>
          <w:sz w:val="32"/>
          <w:szCs w:val="32"/>
        </w:rPr>
        <w:t>“</w:t>
      </w:r>
      <w:r>
        <w:rPr>
          <w:rFonts w:ascii="Times New Roman" w:hAnsi="Times New Roman" w:eastAsia="仿宋_GB2312"/>
          <w:sz w:val="32"/>
          <w:szCs w:val="32"/>
        </w:rPr>
        <w:t>幸福荷塘</w:t>
      </w:r>
      <w:r>
        <w:rPr>
          <w:rFonts w:hint="eastAsia" w:ascii="Times New Roman" w:hAnsi="Times New Roman" w:eastAsia="仿宋_GB2312"/>
          <w:sz w:val="32"/>
          <w:szCs w:val="32"/>
        </w:rPr>
        <w:t>”</w:t>
      </w:r>
      <w:r>
        <w:rPr>
          <w:rFonts w:ascii="Times New Roman" w:hAnsi="Times New Roman" w:eastAsia="仿宋_GB2312"/>
          <w:sz w:val="32"/>
          <w:szCs w:val="32"/>
        </w:rPr>
        <w:t>系列民生行动。</w:t>
      </w:r>
    </w:p>
    <w:p>
      <w:pPr>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2.省五个100（P3）：省产业项目建设年</w:t>
      </w:r>
      <w:r>
        <w:rPr>
          <w:rFonts w:hint="eastAsia" w:ascii="Times New Roman" w:hAnsi="Times New Roman" w:eastAsia="仿宋_GB2312"/>
          <w:sz w:val="32"/>
          <w:szCs w:val="32"/>
        </w:rPr>
        <w:t>提出</w:t>
      </w:r>
      <w:r>
        <w:rPr>
          <w:rFonts w:ascii="Times New Roman" w:hAnsi="Times New Roman" w:eastAsia="仿宋_GB2312"/>
          <w:sz w:val="32"/>
          <w:szCs w:val="32"/>
        </w:rPr>
        <w:t>，着力抓好100个重大产业项目、100个重大科技创新项目、100个重大产品创新，引进100个五百强企业、100个科技创新人才，以促进全省经济高质量发展。</w:t>
      </w:r>
    </w:p>
    <w:p>
      <w:pPr>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3.市五个一批、五大行动（P3）：五个一批是指市产业项目建设年</w:t>
      </w:r>
      <w:r>
        <w:rPr>
          <w:rFonts w:hint="eastAsia" w:ascii="Times New Roman" w:hAnsi="Times New Roman" w:eastAsia="仿宋_GB2312"/>
          <w:sz w:val="32"/>
          <w:szCs w:val="32"/>
        </w:rPr>
        <w:t>提出</w:t>
      </w:r>
      <w:r>
        <w:rPr>
          <w:rFonts w:ascii="Times New Roman" w:hAnsi="Times New Roman" w:eastAsia="仿宋_GB2312"/>
          <w:sz w:val="32"/>
          <w:szCs w:val="32"/>
        </w:rPr>
        <w:t>，重点推进一批重大产业项目、一批重大科技创新项目、一批重大产品创新和引进一批“500强”企业、一批科技创新人才。“五大行动”是指规划引领行动、园区升级行动、项目攻坚行动、设施配套行动、环境优化行动</w:t>
      </w:r>
      <w:r>
        <w:rPr>
          <w:rFonts w:hint="eastAsia" w:ascii="Times New Roman" w:hAnsi="Times New Roman" w:eastAsia="仿宋_GB2312"/>
          <w:sz w:val="32"/>
          <w:szCs w:val="32"/>
        </w:rPr>
        <w:t>。</w:t>
      </w:r>
    </w:p>
    <w:p>
      <w:pPr>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4.三品一标（P6）：无公害农产品、绿色食品、有机农产品和农产品地理标志。</w:t>
      </w:r>
    </w:p>
    <w:p>
      <w:pPr>
        <w:widowControl w:val="0"/>
        <w:overflowPunct w:val="0"/>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5.三供一业（P7）：国有企业（含中央企业和地方国有企业）职工家属区供水、供电、供热（供气）和物业管理。</w:t>
      </w:r>
    </w:p>
    <w:p>
      <w:pPr>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制造强市“1093”行动（P12）：发展轨道交通、航空、汽车、陶瓷、服饰、电子信息、新材料、新能源、生物医药、节能环保等10大重点产业；实施智能制造示范、创新能力建设、人才队伍培育、质量品牌提升、健全服务体系、园区升级发展、绿色生产制造、产业跨界融合、“互联网+”应用等9大专项行动；打造标志性产业基地（轨道交通、航空、汽车）、标志性产业集群（陶瓷、服饰、电子信息、新材料）、标志性领军企业（10家百亿级行业龙头企业）等3大标志性工程。</w:t>
      </w:r>
    </w:p>
    <w:p>
      <w:pPr>
        <w:widowControl w:val="0"/>
        <w:overflowPunct w:val="0"/>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7.瞪羚企业（P14）:是指以科技创新或商业模式创新为支撑，进入高速成长期的中小企业。</w:t>
      </w:r>
    </w:p>
    <w:p>
      <w:pPr>
        <w:spacing w:after="0" w:line="600" w:lineRule="exact"/>
        <w:ind w:firstLine="640" w:firstLineChars="200"/>
        <w:rPr>
          <w:rFonts w:ascii="Times New Roman" w:hAnsi="Times New Roman" w:eastAsia="仿宋_GB2312"/>
          <w:color w:val="FF0000"/>
          <w:sz w:val="32"/>
          <w:szCs w:val="32"/>
        </w:rPr>
      </w:pPr>
      <w:r>
        <w:rPr>
          <w:rFonts w:ascii="Times New Roman" w:hAnsi="Times New Roman" w:eastAsia="仿宋_GB2312"/>
          <w:sz w:val="32"/>
          <w:szCs w:val="32"/>
        </w:rPr>
        <w:t>8.雪亮工程（P2</w:t>
      </w:r>
      <w:r>
        <w:rPr>
          <w:rFonts w:hint="eastAsia" w:ascii="Times New Roman" w:hAnsi="Times New Roman" w:eastAsia="仿宋_GB2312"/>
          <w:sz w:val="32"/>
          <w:szCs w:val="32"/>
        </w:rPr>
        <w:t>1</w:t>
      </w:r>
      <w:r>
        <w:rPr>
          <w:rFonts w:ascii="Times New Roman" w:hAnsi="Times New Roman" w:eastAsia="仿宋_GB2312"/>
          <w:sz w:val="32"/>
          <w:szCs w:val="32"/>
        </w:rPr>
        <w:t>）：以区、镇、村三级综治中心为指挥平台、以综治信息化为支撑、以网格化管理为基础、以公共安全视频监控联网应用为重点的群众性治安防控工程。</w:t>
      </w:r>
    </w:p>
    <w:p>
      <w:pPr>
        <w:spacing w:after="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9.一单四制（P2</w:t>
      </w:r>
      <w:r>
        <w:rPr>
          <w:rFonts w:hint="eastAsia" w:ascii="Times New Roman" w:hAnsi="Times New Roman" w:eastAsia="仿宋_GB2312"/>
          <w:sz w:val="32"/>
          <w:szCs w:val="32"/>
        </w:rPr>
        <w:t>1</w:t>
      </w:r>
      <w:r>
        <w:rPr>
          <w:rFonts w:ascii="Times New Roman" w:hAnsi="Times New Roman" w:eastAsia="仿宋_GB2312"/>
          <w:sz w:val="32"/>
          <w:szCs w:val="32"/>
        </w:rPr>
        <w:t>）：政府职能部门对发现的重大事故隐患，要迅速形成重大事故隐患清单，并对每项重大事故隐患治理任务实行交办制、台账制、销号制、通报制管理。</w:t>
      </w:r>
    </w:p>
    <w:p>
      <w:pPr>
        <w:spacing w:after="0" w:line="600" w:lineRule="exact"/>
        <w:rPr>
          <w:rFonts w:ascii="Times New Roman" w:hAnsi="Times New Roman" w:eastAsia="仿宋_GB2312"/>
        </w:rPr>
      </w:pPr>
    </w:p>
    <w:p>
      <w:pPr>
        <w:spacing w:after="0" w:line="600" w:lineRule="exact"/>
      </w:pPr>
    </w:p>
    <w:sectPr>
      <w:headerReference r:id="rId5" w:type="default"/>
      <w:footerReference r:id="rId6" w:type="default"/>
      <w:footerReference r:id="rId7" w:type="even"/>
      <w:pgSz w:w="11906" w:h="16838"/>
      <w:pgMar w:top="1985" w:right="1418" w:bottom="1418" w:left="1418" w:header="851" w:footer="1077"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Tahoma">
    <w:panose1 w:val="020B0604030504040204"/>
    <w:charset w:val="00"/>
    <w:family w:val="swiss"/>
    <w:pitch w:val="default"/>
    <w:sig w:usb0="61007A87" w:usb1="80000000"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0419" w:y="67"/>
      <w:rPr>
        <w:rStyle w:val="6"/>
        <w:sz w:val="21"/>
        <w:szCs w:val="21"/>
      </w:rPr>
    </w:pPr>
    <w:r>
      <w:rPr>
        <w:rFonts w:ascii="Times New Roman" w:hAnsi="Times New Roman"/>
        <w:sz w:val="21"/>
        <w:szCs w:val="21"/>
      </w:rPr>
      <w:fldChar w:fldCharType="begin"/>
    </w:r>
    <w:r>
      <w:rPr>
        <w:rStyle w:val="6"/>
        <w:rFonts w:ascii="Times New Roman" w:hAnsi="Times New Roman"/>
        <w:sz w:val="21"/>
        <w:szCs w:val="21"/>
      </w:rPr>
      <w:instrText xml:space="preserve">PAGE  </w:instrText>
    </w:r>
    <w:r>
      <w:rPr>
        <w:rFonts w:ascii="Times New Roman" w:hAnsi="Times New Roman"/>
        <w:sz w:val="21"/>
        <w:szCs w:val="21"/>
      </w:rPr>
      <w:fldChar w:fldCharType="separate"/>
    </w:r>
    <w:r>
      <w:rPr>
        <w:rStyle w:val="6"/>
        <w:rFonts w:ascii="Times New Roman" w:hAnsi="Times New Roman"/>
        <w:sz w:val="21"/>
        <w:szCs w:val="21"/>
      </w:rPr>
      <w:t>24</w:t>
    </w:r>
    <w:r>
      <w:rPr>
        <w:rFonts w:ascii="Times New Roman" w:hAnsi="Times New Roman"/>
        <w:sz w:val="21"/>
        <w:szCs w:val="21"/>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419" w:y="67"/>
      <w:rPr>
        <w:rStyle w:val="6"/>
        <w:rFonts w:ascii="Times New Roman" w:hAnsi="Times New Roman"/>
        <w:sz w:val="21"/>
        <w:szCs w:val="21"/>
      </w:rPr>
    </w:pPr>
    <w:r>
      <w:rPr>
        <w:rFonts w:ascii="Times New Roman" w:hAnsi="Times New Roman"/>
        <w:sz w:val="21"/>
        <w:szCs w:val="21"/>
      </w:rPr>
      <w:fldChar w:fldCharType="begin"/>
    </w:r>
    <w:r>
      <w:rPr>
        <w:rStyle w:val="6"/>
        <w:rFonts w:ascii="Times New Roman" w:hAnsi="Times New Roman"/>
        <w:sz w:val="21"/>
        <w:szCs w:val="21"/>
      </w:rPr>
      <w:instrText xml:space="preserve">PAGE  </w:instrText>
    </w:r>
    <w:r>
      <w:rPr>
        <w:rFonts w:ascii="Times New Roman" w:hAnsi="Times New Roman"/>
        <w:sz w:val="21"/>
        <w:szCs w:val="21"/>
      </w:rPr>
      <w:fldChar w:fldCharType="separate"/>
    </w:r>
    <w:r>
      <w:rPr>
        <w:rStyle w:val="6"/>
        <w:rFonts w:ascii="Times New Roman" w:hAnsi="Times New Roman"/>
        <w:sz w:val="21"/>
        <w:szCs w:val="21"/>
      </w:rPr>
      <w:t>2</w:t>
    </w:r>
    <w:r>
      <w:rPr>
        <w:rFonts w:ascii="Times New Roman" w:hAnsi="Times New Roman"/>
        <w:sz w:val="21"/>
        <w:szCs w:val="21"/>
      </w:rPr>
      <w:fldChar w:fldCharType="end"/>
    </w:r>
  </w:p>
  <w:p>
    <w:pPr>
      <w:pStyle w:val="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A6696"/>
    <w:rsid w:val="002D5920"/>
    <w:rsid w:val="00323B43"/>
    <w:rsid w:val="003D37D8"/>
    <w:rsid w:val="00426133"/>
    <w:rsid w:val="004358AB"/>
    <w:rsid w:val="0056537D"/>
    <w:rsid w:val="008B7726"/>
    <w:rsid w:val="00D31D50"/>
    <w:rsid w:val="7DE3B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rFonts w:ascii="Tahoma" w:hAnsi="Tahoma"/>
      <w:sz w:val="18"/>
      <w:szCs w:val="18"/>
    </w:rPr>
  </w:style>
  <w:style w:type="character" w:customStyle="1" w:styleId="8">
    <w:name w:val="页脚 Char"/>
    <w:basedOn w:val="5"/>
    <w:link w:val="2"/>
    <w:qFormat/>
    <w:uiPriority w:val="0"/>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2083</Words>
  <Characters>11876</Characters>
  <Lines>98</Lines>
  <Paragraphs>27</Paragraphs>
  <TotalTime>3</TotalTime>
  <ScaleCrop>false</ScaleCrop>
  <LinksUpToDate>false</LinksUpToDate>
  <CharactersWithSpaces>13932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greatwall</dc:creator>
  <cp:lastModifiedBy>曹小玉</cp:lastModifiedBy>
  <dcterms:modified xsi:type="dcterms:W3CDTF">2021-10-15T12:23:53Z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