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株洲市医疗保障局</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eastAsia="zh-CN"/>
        </w:rPr>
        <w:t>调整株洲市公立医疗机构部分医疗服务价格的通知》公开征求意见的公告</w:t>
      </w:r>
    </w:p>
    <w:p>
      <w:pPr>
        <w:pStyle w:val="2"/>
        <w:rPr>
          <w:rFonts w:hint="eastAsia"/>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为深化医疗服务价格改革，按照《关于建立医疗服务价格动态调整机制的实施意见》(湘医保发〔202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〕18号)《关于建立医疗服务价格动态调整监测评估制度的通知》(湘医保发〔202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〕44号)</w:t>
      </w:r>
      <w:r>
        <w:rPr>
          <w:rFonts w:hint="eastAsia" w:ascii="仿宋_GB2312" w:hAnsi="仿宋_GB2312" w:eastAsia="仿宋_GB2312" w:cs="仿宋_GB2312"/>
          <w:sz w:val="32"/>
          <w:szCs w:val="32"/>
          <w:lang w:val="en-US" w:eastAsia="zh-CN"/>
        </w:rPr>
        <w:t>《关于实施2023年医疗服务价格动态调整的通知》</w:t>
      </w:r>
      <w:r>
        <w:rPr>
          <w:rFonts w:hint="eastAsia" w:ascii="仿宋_GB2312" w:hAnsi="仿宋_GB2312" w:eastAsia="仿宋_GB2312" w:cs="仿宋_GB2312"/>
          <w:sz w:val="32"/>
          <w:szCs w:val="32"/>
        </w:rPr>
        <w:t>（湘医保发〔202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等文件</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lang w:val="en-US" w:eastAsia="zh-CN"/>
        </w:rPr>
        <w:t>我市今年可以启动价格动态调整机制，</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医疗机构参与调价项目</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价</w:t>
      </w:r>
      <w:r>
        <w:rPr>
          <w:rFonts w:hint="eastAsia" w:ascii="仿宋_GB2312" w:hAnsi="仿宋_GB2312" w:eastAsia="仿宋_GB2312" w:cs="仿宋_GB2312"/>
          <w:sz w:val="32"/>
          <w:szCs w:val="32"/>
          <w:lang w:eastAsia="zh-CN"/>
        </w:rPr>
        <w:t>和遴选</w:t>
      </w:r>
      <w:r>
        <w:rPr>
          <w:rFonts w:hint="eastAsia" w:ascii="仿宋_GB2312" w:hAnsi="仿宋_GB2312" w:eastAsia="仿宋_GB2312" w:cs="仿宋_GB2312"/>
          <w:sz w:val="32"/>
          <w:szCs w:val="32"/>
        </w:rPr>
        <w:t>，严密测算后，</w:t>
      </w:r>
      <w:r>
        <w:rPr>
          <w:rFonts w:hint="eastAsia" w:ascii="仿宋_GB2312" w:hAnsi="仿宋_GB2312" w:eastAsia="仿宋_GB2312" w:cs="仿宋_GB2312"/>
          <w:sz w:val="32"/>
          <w:szCs w:val="32"/>
          <w:lang w:eastAsia="zh-CN"/>
        </w:rPr>
        <w:t>我局起草了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关于调整株洲市公立医疗机构医疗部分服务价格的通知》，现面向全市公立医疗机构和参保人员公开征求意见。</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请各公立医疗机构和参保人员在</w:t>
      </w:r>
      <w:r>
        <w:rPr>
          <w:rFonts w:hint="eastAsia" w:ascii="仿宋_GB2312" w:hAnsi="仿宋_GB2312" w:eastAsia="仿宋_GB2312" w:cs="仿宋_GB2312"/>
          <w:sz w:val="32"/>
          <w:szCs w:val="32"/>
          <w:lang w:val="en-US" w:eastAsia="zh-CN"/>
        </w:rPr>
        <w:t>2023年12月30日前将意见发送指定邮箱：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"mailto:zzyyzbcg@163.com。" </w:instrText>
      </w:r>
      <w:r>
        <w:rPr>
          <w:rFonts w:hint="eastAsia" w:ascii="仿宋_GB2312" w:hAnsi="仿宋_GB2312" w:eastAsia="仿宋_GB2312" w:cs="仿宋_GB2312"/>
          <w:color w:val="auto"/>
          <w:sz w:val="32"/>
          <w:szCs w:val="32"/>
          <w:u w:val="none"/>
          <w:lang w:val="en-US" w:eastAsia="zh-CN"/>
        </w:rPr>
        <w:fldChar w:fldCharType="separate"/>
      </w:r>
      <w:r>
        <w:rPr>
          <w:rStyle w:val="9"/>
          <w:rFonts w:hint="eastAsia" w:ascii="仿宋_GB2312" w:hAnsi="仿宋_GB2312" w:eastAsia="仿宋_GB2312" w:cs="仿宋_GB2312"/>
          <w:color w:val="auto"/>
          <w:sz w:val="32"/>
          <w:szCs w:val="32"/>
          <w:u w:val="none"/>
          <w:lang w:val="en-US" w:eastAsia="zh-CN"/>
        </w:rPr>
        <w:t>zzyyzbcg@163.com。</w:t>
      </w:r>
      <w:r>
        <w:rPr>
          <w:rFonts w:hint="eastAsia" w:ascii="仿宋_GB2312" w:hAnsi="仿宋_GB2312" w:eastAsia="仿宋_GB2312" w:cs="仿宋_GB2312"/>
          <w:color w:val="auto"/>
          <w:sz w:val="32"/>
          <w:szCs w:val="32"/>
          <w:u w:val="none"/>
          <w:lang w:val="en-US" w:eastAsia="zh-CN"/>
        </w:rPr>
        <w:fldChar w:fldCharType="end"/>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株洲市医疗保障局    </w:t>
      </w:r>
    </w:p>
    <w:p>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2023年12月20日</w:t>
      </w:r>
    </w:p>
    <w:p>
      <w:pPr>
        <w:pStyle w:val="2"/>
        <w:jc w:val="left"/>
        <w:rPr>
          <w:rFonts w:hint="eastAsia" w:ascii="仿宋_GB2312" w:hAnsi="仿宋_GB2312" w:eastAsia="仿宋_GB2312" w:cs="仿宋_GB2312"/>
          <w:sz w:val="32"/>
          <w:szCs w:val="32"/>
          <w:lang w:val="en-US" w:eastAsia="zh-CN"/>
        </w:rPr>
      </w:pPr>
    </w:p>
    <w:p>
      <w:pPr>
        <w:pStyle w:val="2"/>
        <w:jc w:val="left"/>
        <w:rPr>
          <w:rFonts w:hint="eastAsia" w:ascii="仿宋_GB2312" w:hAnsi="仿宋_GB2312" w:eastAsia="仿宋_GB2312" w:cs="仿宋_GB2312"/>
          <w:sz w:val="32"/>
          <w:szCs w:val="32"/>
          <w:lang w:val="en-US" w:eastAsia="zh-CN"/>
        </w:rPr>
      </w:pPr>
    </w:p>
    <w:p>
      <w:pPr>
        <w:pStyle w:val="2"/>
        <w:jc w:val="left"/>
        <w:rPr>
          <w:rFonts w:hint="eastAsia" w:ascii="仿宋_GB2312" w:hAnsi="仿宋_GB2312" w:eastAsia="仿宋_GB2312" w:cs="仿宋_GB2312"/>
          <w:sz w:val="32"/>
          <w:szCs w:val="32"/>
          <w:lang w:val="en-US" w:eastAsia="zh-CN"/>
        </w:rPr>
      </w:pPr>
    </w:p>
    <w:p>
      <w:pPr>
        <w:pStyle w:val="2"/>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株洲市医疗保障局</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关于调整株洲市公立医疗机构医疗</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部分服务价格的通知</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pPr>
        <w:pStyle w:val="2"/>
        <w:rPr>
          <w:rFonts w:hint="eastAsia"/>
          <w:lang w:eastAsia="zh-CN"/>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各县市区医疗保障局，各公立医疗机构：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为深化医疗服务价格改革，按照《关于建立医疗服务价格动态调整机制的实施意见》(湘医保发〔202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〕18号)《关于建立医疗服务价格动态调整监测评估制度的通知》(湘医保发〔202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〕44号)</w:t>
      </w:r>
      <w:r>
        <w:rPr>
          <w:rFonts w:hint="eastAsia" w:ascii="仿宋_GB2312" w:hAnsi="仿宋_GB2312" w:eastAsia="仿宋_GB2312" w:cs="仿宋_GB2312"/>
          <w:sz w:val="32"/>
          <w:szCs w:val="32"/>
          <w:lang w:val="en-US" w:eastAsia="zh-CN"/>
        </w:rPr>
        <w:t>《关于实施2023年医疗服务价格动态调整的通知》</w:t>
      </w:r>
      <w:r>
        <w:rPr>
          <w:rFonts w:hint="eastAsia" w:ascii="仿宋_GB2312" w:hAnsi="仿宋_GB2312" w:eastAsia="仿宋_GB2312" w:cs="仿宋_GB2312"/>
          <w:sz w:val="32"/>
          <w:szCs w:val="32"/>
        </w:rPr>
        <w:t>（湘医保发〔202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等文件</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我市今年符合启动调价机制的相关条件，经</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 xml:space="preserve">医疗机构参与调价项目遴选和报价，严密测算后，形成医疗服务价格动态调整方案。现就有关事项通知如下: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一、调价原则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总体平衡、总量控制、突出重点、有升有降”原则，通过降低物耗为主的影像化验类项目价格拓展调价空间，支持薄弱学科发展，重点提高手术、治疗、康复、药学、病理和精神科等体现技术劳务价值的医疗服务项目价格，优化医疗服务价格结构，理顺比价关系，确保群众负担总体稳定、医保基金可承受、公立医疗机构健康发展可持续，提高医疗卫生为人民服务的质量和水平。</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（一）调价范围：</w:t>
      </w:r>
      <w:r>
        <w:rPr>
          <w:rFonts w:hint="eastAsia" w:ascii="仿宋_GB2312" w:hAnsi="仿宋_GB2312" w:eastAsia="仿宋_GB2312" w:cs="仿宋_GB2312"/>
          <w:sz w:val="32"/>
          <w:szCs w:val="32"/>
          <w:lang w:eastAsia="zh-CN"/>
        </w:rPr>
        <w:t>株洲市所有公立医疗机构，非公立医疗机构参照执行。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（二）项目遴选：</w:t>
      </w:r>
      <w:r>
        <w:rPr>
          <w:rFonts w:hint="eastAsia" w:ascii="仿宋_GB2312" w:hAnsi="仿宋_GB2312" w:eastAsia="仿宋_GB2312" w:cs="仿宋_GB2312"/>
          <w:sz w:val="32"/>
          <w:szCs w:val="32"/>
          <w:lang w:eastAsia="zh-CN"/>
        </w:rPr>
        <w:t>按照湘医保发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文要求和我市实际，并充分尊重医院和医生专业性建议，组织我市公立医疗机构开展调价方案申报，并进行报价审核、遴选。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（三）</w:t>
      </w:r>
      <w:r>
        <w:rPr>
          <w:rFonts w:hint="eastAsia" w:ascii="仿宋_GB2312" w:hAnsi="仿宋_GB2312" w:eastAsia="仿宋_GB2312" w:cs="仿宋_GB2312"/>
          <w:sz w:val="32"/>
          <w:szCs w:val="32"/>
        </w:rPr>
        <w:t>此次共调整29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个项目(下调20个，上调27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个)，删除2个化验类套餐项目(250310101甲状腺功能常规检查、250310102甲状腺功能化学发光法检查)。</w:t>
      </w:r>
      <w:r>
        <w:rPr>
          <w:rFonts w:hint="eastAsia" w:ascii="仿宋_GB2312" w:hAnsi="仿宋_GB2312" w:eastAsia="仿宋_GB2312" w:cs="仿宋_GB2312"/>
          <w:sz w:val="32"/>
          <w:szCs w:val="32"/>
          <w:lang w:val="en-US" w:eastAsia="zh-CN"/>
        </w:rPr>
        <w:t>其中，调降物耗为主的影像类项目 11个，化验类项目 7个，调降过高的物理治疗和综合类项目各 1个，平均调降</w:t>
      </w:r>
      <w:r>
        <w:rPr>
          <w:rFonts w:hint="eastAsia" w:ascii="仿宋_GB2312" w:hAnsi="仿宋_GB2312" w:eastAsia="仿宋_GB2312" w:cs="仿宋_GB2312"/>
          <w:color w:val="auto"/>
          <w:sz w:val="32"/>
          <w:szCs w:val="32"/>
          <w:lang w:val="en-US" w:eastAsia="zh-CN"/>
        </w:rPr>
        <w:t xml:space="preserve"> 28.24%。</w:t>
      </w:r>
      <w:r>
        <w:rPr>
          <w:rFonts w:hint="eastAsia" w:ascii="仿宋_GB2312" w:hAnsi="仿宋_GB2312" w:eastAsia="仿宋_GB2312" w:cs="仿宋_GB2312"/>
          <w:sz w:val="32"/>
          <w:szCs w:val="32"/>
          <w:lang w:val="en-US" w:eastAsia="zh-CN"/>
        </w:rPr>
        <w:t>调升技术劳务为主的手术类项目198 个、康复类项目23 个、临床诊疗类项目 15个、病理类项目14个、精神科项目 12 个、介入治疗项目5个、药学类项目 3个、中医综合类项目1个、综合类项目2个，平均调升</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auto"/>
          <w:sz w:val="32"/>
          <w:szCs w:val="32"/>
          <w:lang w:val="en-US" w:eastAsia="zh-CN"/>
        </w:rPr>
        <w:t>30.06%。</w:t>
      </w:r>
      <w:r>
        <w:rPr>
          <w:rFonts w:hint="eastAsia" w:ascii="仿宋_GB2312" w:hAnsi="仿宋_GB2312" w:eastAsia="仿宋_GB2312" w:cs="仿宋_GB2312"/>
          <w:sz w:val="32"/>
          <w:szCs w:val="32"/>
        </w:rPr>
        <w:t>原则上一类医疗服务价格与二类医疗服务价格之间保持15%价差，二类医疗服务价格与三类医疗服务价格之间保持10%价差，三类医疗服务价格与基层医疗服务价格之间保持20%价差</w:t>
      </w:r>
      <w:r>
        <w:rPr>
          <w:rFonts w:hint="eastAsia" w:ascii="仿宋_GB2312" w:hAnsi="仿宋_GB2312" w:eastAsia="仿宋_GB2312" w:cs="仿宋_GB2312"/>
          <w:sz w:val="32"/>
          <w:szCs w:val="32"/>
          <w:lang w:eastAsia="zh-CN"/>
        </w:rPr>
        <w:t>。价格调整后，原医保支付政策不变。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pPr>
        <w:spacing w:line="594"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（一）协同配合，加强监管。</w:t>
      </w:r>
      <w:r>
        <w:rPr>
          <w:rFonts w:ascii="Times New Roman" w:hAnsi="Times New Roman" w:eastAsia="仿宋_GB2312" w:cs="Times New Roman"/>
          <w:sz w:val="32"/>
          <w:szCs w:val="32"/>
        </w:rPr>
        <w:t>各县市区医疗保障局要积极落实调价工作，主动指导各级公立医疗机构开展调价，主动联合市场监管及卫健部门对医疗机构开展检查，规范医疗服务行为和价格行为，确保价格调整后医疗机构为老百姓提供更加优质的医疗服务。</w:t>
      </w:r>
    </w:p>
    <w:p>
      <w:pPr>
        <w:spacing w:line="594"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（二）积极应对，健全制度。</w:t>
      </w:r>
      <w:r>
        <w:rPr>
          <w:rFonts w:ascii="Times New Roman" w:hAnsi="Times New Roman" w:eastAsia="仿宋_GB2312" w:cs="Times New Roman"/>
          <w:sz w:val="32"/>
          <w:szCs w:val="32"/>
        </w:rPr>
        <w:t>各医疗机构要健全价格信息公开制度、住院费用清单制度和价格投诉处理制度，做好医疗服务价格公示，提高医药价格透明度，接受社会监督。</w:t>
      </w:r>
    </w:p>
    <w:p>
      <w:pPr>
        <w:spacing w:line="594"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（三）稳步实施，防范风险。</w:t>
      </w:r>
      <w:r>
        <w:rPr>
          <w:rFonts w:ascii="Times New Roman" w:hAnsi="Times New Roman" w:eastAsia="仿宋_GB2312" w:cs="Times New Roman"/>
          <w:sz w:val="32"/>
          <w:szCs w:val="32"/>
        </w:rPr>
        <w:t>医疗服务价格调整工作涉及面广、社会关注度高，各县市区医疗保障局和各公立医疗机构要积极做好政策解读，正确引导舆论，及时回应社会关切，合理引导社会预期，为改革努力营造良好氛围。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四、施行时间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本通知自年月日起执行。原政策文件与本通知不符的，以本通知为准。如遇国家或省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出台新政策，按新政策执行。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株洲市</w:t>
      </w:r>
      <w:r>
        <w:rPr>
          <w:rFonts w:hint="eastAsia" w:ascii="仿宋_GB2312" w:hAnsi="仿宋_GB2312" w:eastAsia="仿宋_GB2312" w:cs="仿宋_GB2312"/>
          <w:sz w:val="32"/>
          <w:szCs w:val="32"/>
        </w:rPr>
        <w:t>2023年公立医疗机构医疗服务价格调整</w:t>
      </w:r>
      <w:r>
        <w:rPr>
          <w:rFonts w:hint="eastAsia" w:ascii="仿宋_GB2312" w:hAnsi="仿宋_GB2312" w:eastAsia="仿宋_GB2312" w:cs="仿宋_GB2312"/>
          <w:sz w:val="32"/>
          <w:szCs w:val="32"/>
          <w:lang w:eastAsia="zh-CN"/>
        </w:rPr>
        <w:t>汇</w:t>
      </w:r>
      <w:bookmarkStart w:id="0" w:name="_GoBack"/>
      <w:bookmarkEnd w:id="0"/>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表</w:t>
      </w:r>
    </w:p>
    <w:p>
      <w:pPr>
        <w:keepNext w:val="0"/>
        <w:keepLines w:val="0"/>
        <w:pageBreakBefore w:val="0"/>
        <w:widowControl w:val="0"/>
        <w:kinsoku/>
        <w:wordWrap w:val="0"/>
        <w:overflowPunct/>
        <w:topLinePunct w:val="0"/>
        <w:autoSpaceDE/>
        <w:autoSpaceDN/>
        <w:bidi w:val="0"/>
        <w:adjustRightInd/>
        <w:snapToGrid/>
        <w:spacing w:line="600" w:lineRule="exact"/>
        <w:ind w:firstLine="5120" w:firstLineChars="1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株洲市医疗保障局</w:t>
      </w:r>
      <w:r>
        <w:rPr>
          <w:rFonts w:hint="eastAsia" w:ascii="仿宋_GB2312" w:hAnsi="仿宋_GB2312" w:eastAsia="仿宋_GB2312" w:cs="仿宋_GB2312"/>
          <w:sz w:val="32"/>
          <w:szCs w:val="32"/>
          <w:lang w:val="en-US" w:eastAsia="zh-CN"/>
        </w:rPr>
        <w:t xml:space="preserve">   </w:t>
      </w:r>
    </w:p>
    <w:p>
      <w:pPr>
        <w:tabs>
          <w:tab w:val="left" w:pos="8931"/>
        </w:tabs>
        <w:spacing w:line="560" w:lineRule="exact"/>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2023年12月20日    </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tabs>
          <w:tab w:val="left" w:pos="8931"/>
        </w:tabs>
        <w:spacing w:line="560" w:lineRule="exact"/>
        <w:jc w:val="both"/>
        <w:rPr>
          <w:rFonts w:hint="eastAsia" w:ascii="Times New Roman" w:hAnsi="Times New Roman" w:eastAsia="仿宋_GB2312" w:cs="Times New Roman"/>
          <w:b/>
          <w:bCs/>
          <w:spacing w:val="-6"/>
          <w:sz w:val="36"/>
          <w:szCs w:val="36"/>
        </w:rPr>
        <w:sectPr>
          <w:pgSz w:w="11906" w:h="16838"/>
          <w:pgMar w:top="1440" w:right="1800" w:bottom="1440" w:left="1800" w:header="851" w:footer="992" w:gutter="0"/>
          <w:cols w:space="425" w:num="1"/>
          <w:docGrid w:type="lines" w:linePitch="312" w:charSpace="0"/>
        </w:sectPr>
      </w:pPr>
    </w:p>
    <w:p>
      <w:pPr>
        <w:tabs>
          <w:tab w:val="left" w:pos="8931"/>
        </w:tabs>
        <w:spacing w:line="560" w:lineRule="exact"/>
        <w:jc w:val="center"/>
        <w:rPr>
          <w:rFonts w:hint="eastAsia" w:ascii="Times New Roman" w:hAnsi="Times New Roman" w:eastAsia="仿宋_GB2312" w:cs="Times New Roman"/>
          <w:b/>
          <w:bCs/>
          <w:spacing w:val="-6"/>
          <w:sz w:val="36"/>
          <w:szCs w:val="36"/>
        </w:rPr>
      </w:pPr>
      <w:r>
        <w:rPr>
          <w:rFonts w:hint="eastAsia" w:ascii="Times New Roman" w:hAnsi="Times New Roman" w:eastAsia="仿宋_GB2312" w:cs="Times New Roman"/>
          <w:b/>
          <w:bCs/>
          <w:spacing w:val="-6"/>
          <w:sz w:val="36"/>
          <w:szCs w:val="36"/>
        </w:rPr>
        <w:t>株洲市</w:t>
      </w:r>
      <w:r>
        <w:rPr>
          <w:rFonts w:hint="eastAsia" w:ascii="Times New Roman" w:hAnsi="Times New Roman" w:eastAsia="仿宋_GB2312" w:cs="Times New Roman"/>
          <w:b/>
          <w:bCs/>
          <w:spacing w:val="-6"/>
          <w:sz w:val="36"/>
          <w:szCs w:val="36"/>
          <w:lang w:val="en-US" w:eastAsia="zh-CN"/>
        </w:rPr>
        <w:t>2023年医疗服务项目价格调整汇总表</w:t>
      </w:r>
    </w:p>
    <w:tbl>
      <w:tblPr>
        <w:tblStyle w:val="7"/>
        <w:tblW w:w="1315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671"/>
        <w:gridCol w:w="1707"/>
        <w:gridCol w:w="2341"/>
        <w:gridCol w:w="1021"/>
        <w:gridCol w:w="907"/>
        <w:gridCol w:w="869"/>
        <w:gridCol w:w="869"/>
        <w:gridCol w:w="869"/>
        <w:gridCol w:w="869"/>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编码</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项目名称</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项目内涵</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除外内容</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计价</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一类</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价格</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二类</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价格</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三类</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价格</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基层</w:t>
            </w:r>
          </w:p>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价格</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120700001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雾化吸入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机械通气经呼吸机管道雾化给药参照执行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一次性雾化器</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120700001-3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高压泵、氧化雾化</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120700001-3-1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高压泵、氧化雾化（6周岁及以下儿童加收）</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220201002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B超常规检查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胸部(含肺、胸腔、纵隔)、腹部(含肝、胆、胰、脾、双肾)、胃肠道、泌尿系(含双肾、输尿管、膀胱、前列腺)、妇科(含子宫、附件、膀胱及周围组织)分别参照执行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每个部位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产科(含胎儿及宫腔)检查加收15元，2胎及多胎加收10元。不得再另收其他检查费用。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4．正电子发射计算机断层显象(PET)</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指使用PET和加速器的断层显象；含各种图象记录过程,含核素药物制备和注射、临床穿刺插管和介入性操作；不含必要时使用的心电监护和抢救。</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药物、X光片、彩色胶片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PET/CT不再另收CT费。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脑血流断层显象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脑代谢断层显象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静息心肌灌注断层显象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负荷心肌灌注断层显象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含运动试验或药物注射；不含心电监护</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心肌代谢断层显象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心脏神经受体断层显象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肿瘤全身断层显像</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2492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肿瘤局部断层显象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神经受体显象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230400010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正电子发射计算机断层－X线计算机体层综合显像(PET/CT)</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指头颈部、胸部、腹盆腔、双下肢</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核素药物，造影剂</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 部位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未获得卫生主管部门设备配置许可证的不得收费。二个部位及以上、全身显像加收70%。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B型钠尿肽（BNP）测定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指酶免疫法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高双抗夹心荧光法或化学发光法加收200%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250306013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B型钠尿肽前体（PRO-BNP）测定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指N端proBNP</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定量分析加收200%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血清促甲状腺激素测定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指各种免疫学方法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化学发光法加收200%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血清甲状腺素(T4)测定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指各种免疫学方法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化学发光法加收200%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血清三碘甲状原氨酸(T3)测定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指各种免疫学方法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化学发光法加收200%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血清游离甲状腺素(FT4)测定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指各种免疫学方法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化学发光法加收200%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250310014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血清游离三碘甲状原氨酸(FT3)测定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指各种免疫学方法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化学发光法加收200%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340100024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气压治疗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肢体气压治疗、肢体正负压治疗分别参照执行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每部位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250310101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甲状腺功能常规检查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含血清促甲状腺激素测定、血清甲状腺素(T4)测定、血清三碘甲状原氨酸(T3)测定、血清游离甲状腺素(FT4)测定、血清游离三碘甲状原氨酸(FT3)测定</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250310102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甲状腺功能化学发光法检查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含血清促甲状腺激素测定、血清甲状腺素(T4)测定、血清三碘甲状原氨酸(T3)测定、血清游离甲状腺素(FT4)测定、血清游离三碘甲状原氨酸(FT3)测定</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111100004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全胃肠外营养药物配置</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含配置材料</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111100005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细胞毒性药物配置</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含配置材料</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111100006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静脉用药集中调配</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270500003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免疫荧光染色诊断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每个标本，每种染色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脑室钻孔伴脑室引流术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330201059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立体定向颅内肿物清除术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血肿、脓肿、肿瘤清除以及取活检、取异物分别参照执行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引流</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3545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330602013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经鼻内镜鼻窦手术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4个（含4个）以上窦加收400元,蝶窦加收300元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331101014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肾囊肿切除术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去顶术参照执行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剖宫产术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古典式、子宫下段及腹膜外剖宫取胎术分别参照执行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970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331505014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股骨颈骨折切开复位内固定术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股骨头骨折复位内固定术参照执行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1592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心功能康复评定</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平衡功能训练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340200040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偏瘫肢体综合训练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480000004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人工煎药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副</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120100015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机械辅助排痰</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指无力自主排痰的机械振动辅助治疗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使用振动排痰机排痰,以痰明显减少、双肺呼吸音清晰为一次，一天不超过三次计费。6周岁及以下儿童在相应价格基础上加收30%。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270200001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体液细胞学检查与诊断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胸水、腹水、心包液、脑脊液、精液、各种囊肿穿刺液、唾液、龈沟液的细胞学检查与诊断分别参照执行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需塑料包埋的标本加收10元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270200003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细针穿刺细胞学检查与诊断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指各种实质性脏器的细针穿刺标本的涂片(压片)检查及诊断</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270300001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穿刺组织活检检查与诊断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肾、乳腺、体表肿块等穿刺组织活检及诊断分别参照执行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以两个蜡块为基价，超过两个者，每个加收10元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270300002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内镜组织活检检查与诊断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各种内镜采集的小组织标本的病理学检查与诊断分别参照执行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以两个蜡块为基价，超过两个者，每个加收10元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270300003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局部切除组织活检检查与诊断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切除组织、咬取组织、切除肿块部分组织的活检分别参照执行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每个部位</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以两个蜡块为基价，超过两个者，每个加收20元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270300005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手术标本检查与诊断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以两个蜡块为基价，超过两个者，每个加收20元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270400001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冰冻切片检查与诊断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例</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每加送一次，加收100元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270500001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特殊染色及酶组织化学染色诊断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每个标本，每种染色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270500002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免疫组织化学染色诊断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每个标本，每种染色</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甲基转移酶染色诊断加收100</w:t>
            </w:r>
            <w:r>
              <w:rPr>
                <w:rStyle w:val="10"/>
                <w:rFonts w:hint="eastAsia" w:ascii="仿宋" w:hAnsi="仿宋" w:eastAsia="仿宋" w:cs="仿宋"/>
                <w:sz w:val="21"/>
                <w:szCs w:val="21"/>
                <w:lang w:val="en-US" w:eastAsia="zh-CN" w:bidi="ar"/>
              </w:rPr>
              <w:t>﹪</w:t>
            </w:r>
            <w:r>
              <w:rPr>
                <w:rFonts w:hint="eastAsia" w:ascii="仿宋" w:hAnsi="仿宋" w:eastAsia="仿宋" w:cs="仿宋"/>
                <w:i w:val="0"/>
                <w:iCs w:val="0"/>
                <w:color w:val="000000"/>
                <w:kern w:val="0"/>
                <w:sz w:val="21"/>
                <w:szCs w:val="21"/>
                <w:u w:val="none"/>
                <w:lang w:val="en-US" w:eastAsia="zh-CN" w:bidi="ar"/>
              </w:rPr>
              <w:t>。全自动操作加收50元。全自动液盖膜单独温控法加收90元。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270600001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普通透射电镜检查与诊断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 标本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270600003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扫描电镜检查与诊断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 标本</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270700001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原位杂交</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荧光原位杂交（FISH)750元/探针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270800002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宫颈细胞学计算机辅助诊断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310605003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经纤支镜治疗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含经纤支镜痰吸引、滴药、止血、化疗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取异物加收150元。6周岁及以下儿童在相应价格基础上加收30%。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310605006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经纤支镜肺泡灌洗诊疗术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含生理盐水</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 肺段</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310605007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经纤支镜防污染采样刷检查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经气管切开防污染采样刷检查参照执行；不含微生物学检查</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310605008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经纤支镜特殊治疗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指微波治疗，冷冻治疗参照执行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激光、高频电等法可分别加收100%。6周岁及以下儿童在相应价格基础上加收30%。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310800005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血细胞分离单采</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1464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1172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以6000ml为基数，每增加循环量1000ml加收50%。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310800022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自体骨髓或外周血干细胞支持治疗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指大剂量化疗后。含严格无菌消毒隔离措施</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3482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3482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310800028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富血小板血浆（PRP）治疗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项目内涵:通过两次离心，从全血中提取出血小板浓缩液，含高浓度血小板，白细胞和纤维蛋白。PRP开启了人体自身修复的奥秘，将自身修复能力调动出来，加速了人体自然愈合的过程。</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富血小板血浆制备装置、血浆</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310902005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纤维胃十二指肠镜检查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含活检、刷检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电子镜加收100元、内镜色素检查加收200元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310902006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经胃镜特殊治疗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指电凝法，取异物、粘膜切除、粘膜血流量测定、止血、息肉肿物切除等病变及内镜下胃食道返流治疗、药疗、化疗、硬化剂治疗分别参照执行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圈套器、血管夹、内镜注射针</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微波加收50%、激光、消融、等离子、电切法可分别加收100%。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310903005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纤维结肠镜检查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含活检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电子镜加收100元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310903010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经肠镜特殊治疗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圈套器、血管夹</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微波加收50%，激光、电切法可分别加收100%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310905010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经皮肝穿胆道引流术(PTCD)</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不含超声定位引导或X线引导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支架、导管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310905012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经内镜鼻胆管引流术（ENBD）</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一次性鼻胆引流管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311201018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宫腔粘连分离术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311201048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宫内节育器放置术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取出术参照执行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双子宫上环加收50%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311502004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首诊精神病检查</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抗精神病药物治疗监测</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血药浓度监测加收40元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多参数监护无抽搐电休克治疗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含药物、监护仪护理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行为观察和治疗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冲动行为干预治疗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特殊工娱治疗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暗示治疗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松驰治疗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311503023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心理咨询</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每次40分钟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311503024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心理治疗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每次40分钟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311503026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催眠治疗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320100004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经皮静脉球囊扩张术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球囊、导管、套鞘、一次性穿刺针、三通管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1442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320200009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经皮动脉内球囊扩张术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不含脑血管及冠状动脉</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导管、球囊</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320200010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经皮动脉支架置入术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肢体动脉、颈动脉、肾动脉分别参照执行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支架</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2679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2424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320500007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冠脉血管内超声检查术(IVUS)</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含术前的靶血管造影</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血管内超声导管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2398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1631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320600008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颅内动脉瘤栓塞术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栓塞材料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2656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330100001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局部浸润麻醉</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表面麻醉每次5元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330100002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神经阻滞麻醉</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颈丛、臂丛、星状神经，各种神经阻滞及侧隐窝阻滞术、侧隐窝臭氧注射等参照执行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2小时</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每增加1小时加收50%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6"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330100005-1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单纯静脉全麻或单纯吸入全麻（不插管）</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半小时</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不足半小时按半小时收取。 无痛胃镜、肠镜、宫腔镜、人流分别按照 450 元/次（含麻醉及相关操作、耗材费用，不含胃镜、肠镜、宫腔镜及人流等诊疗费用。同时开展上述两种及两种以上无痛诊疗按照 680 元/次）收取，无痛支气管镜按照 550 元/次收取（不含支气管镜诊疗费用），无痛分娩按照 1800 元/次收取（含麻醉及相关操作、耗材费用，不含分娩费用）。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330100017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体外循环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2小时</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每增加1小时加收400元，最高不超过2000元。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颅骨修补术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假体植入参照执行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修补材料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2398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1386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颅内血肿清除术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单纯硬膜外、硬膜下、脑内血肿清除术分别参照执行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2046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侧脑室分流术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含分流管调整；侧脑室-心房分流术、侧脑室-膀胱分流术、侧脑室-腹腔分流术分别参照执行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分流管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1888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幕上浅部病变切除术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大脑半球胶质瘤、转移癌、胶质增生、大脑半球凸面脑膜瘤、脑脓肿分别参照执行；不含矢状窦旁脑膜瘤、大脑镰旁脑膜瘤</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3915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2264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330201035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脑深部电极置入术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1907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330201045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经颅内镜经鼻蝶垂体肿瘤切除术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4254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3403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330201051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脑脊液漏修补术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额窦修补、前颅窝、中颅窝底修补分别参照执行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生物胶、人工硬膜、钛钢板</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4908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330201055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颅缝骨化症整形术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特殊固定材料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2093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330204020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脑脊液置换术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330300007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甲状腺穿刺活检术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注射、抽液分别参照执行；不含B超引导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330300011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2260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330300012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甲状腺癌扩大根治术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含甲状腺癌切除、同侧淋巴结清扫、所累及颈其他结构切除</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4845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2964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330300018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胸腺切除术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胸腺肿瘤切除、胸腺扩大切除、经胸骨正中切口径路、经颈部横切口手术分别参照执行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2996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2547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1833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330401009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睑裂缝合术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330402009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泪道成形术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含泪小点切开术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330403002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结膜肿物切除术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结膜色素痣切除术参照执行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羊膜</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组织移植加收400元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330405009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睫状体及脉络膜上腔放液术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特殊缝线</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330405012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前房成形术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590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330405013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青光眼滤过术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小梁切除、虹膜嵌顿、巩膜灼滤分别参照执行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显微镜下加收200元</w:t>
            </w:r>
            <w:r>
              <w:rPr>
                <w:rStyle w:val="10"/>
                <w:rFonts w:hint="eastAsia" w:ascii="仿宋" w:hAnsi="仿宋" w:eastAsia="仿宋" w:cs="仿宋"/>
                <w:sz w:val="21"/>
                <w:szCs w:val="21"/>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330406002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白内障囊膜切除术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粘弹剂</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979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599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330406006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白内障囊外摘除+人工晶体植入术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人工晶体、粘弹剂</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1482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显微手术加收200元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330406007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人工晶体复位术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330406008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人工晶体置换术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人工晶体</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玻切加收1000元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330406009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二期人工晶体植入术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人工晶体、粘弹剂</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玻切加收1000元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330406019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非正常晶体手术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晶体半脱位、晶体切除、瞳孔广泛粘连强直或闭锁、抗青光眼术后分别参照执行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1297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330407001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玻璃体腔穿刺术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含玻璃体注气、注液、注药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330407002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玻璃体切除术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玻璃体切割头、膨胀气体、硅油、重水</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2173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1847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经结膜微创玻璃体切除术加收300元</w:t>
            </w:r>
            <w:r>
              <w:rPr>
                <w:rStyle w:val="10"/>
                <w:rFonts w:hint="eastAsia" w:ascii="仿宋" w:hAnsi="仿宋" w:eastAsia="仿宋" w:cs="仿宋"/>
                <w:sz w:val="21"/>
                <w:szCs w:val="21"/>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330407008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黄斑前膜术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793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330407009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黄斑下膜取出术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玻璃体切割头、硅胶、膨胀气体、重水、硅油</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330409008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眼球摘除术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羟基磷灰石眼台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330501002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耳道异物取出术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330502014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单纯乳突凿开术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含鼓室探查术、病变清除；不含鼓室成形</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799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330503002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内耳开窗术 </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经前庭窗迷路破坏术、半规管嵌顿术、外淋巴灌流术分别参照执行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330601007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鼻腔异物取出术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330601021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经鼻鼻腔鼻窦肿瘤切除术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330602001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上颌窦鼻内开窗术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指鼻下鼻道开窗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330602014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全筛窦切除术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831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330603004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经鼻视神经减压术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1535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330604006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阻生牙拔除术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低位阻生、完全骨阻生的牙及多生牙分别参照执行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每牙</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下颌骨部分切除术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区段切除参照执行。不含颌骨缺损修复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下颌骨缺损钛板即刻植入术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含骨断端准备、钛板植入及固定</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钛板及钛钉特殊材料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颌骨良性病变切除术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上、下颌骨骨髓炎、良性肿瘤、瘤样病变及各类囊肿的切除术(含刮治术)分别参照执行。不含松质骨或骨替代物的植入</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颊部恶性肿物局部扩大切除术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含肿物切除及邻位瓣修复。不含颊部大面积缺损游离皮瓣及带蒂皮瓣修复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1320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330605028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腮腺全切除术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腮腺深叶肿物切除参照执行，腮腺切除及面神经解剖术分别参照执行。不含面神经修复术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升支截断复位固定加收50%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330605033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颌面颈部深部肿物探查术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含活检。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861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肿物切除术加收100元</w:t>
            </w:r>
            <w:r>
              <w:rPr>
                <w:rStyle w:val="10"/>
                <w:rFonts w:hint="eastAsia" w:ascii="仿宋" w:hAnsi="仿宋" w:eastAsia="仿宋" w:cs="仿宋"/>
                <w:sz w:val="21"/>
                <w:szCs w:val="21"/>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330605036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颌下腺切除术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330606003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舌再造术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330606006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腭咽成形术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330606015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II° 腭裂兰氏修复术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硬、软腭裂修复术分别参照执行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963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330606017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反向双“Z”腭裂修复术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腭裂兰氏修复、软腭延长术分别参照执行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1139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每加一侧加收50%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330607006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下颌体部截骨术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下颌体部修整术、去皮质术骨内坚固内固定术、植骨术分别参照执行。不含骨切取</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330607009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下颌骨去骨皮质术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330610001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扁桃体切除术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残体切除、挤切分别参照执行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330610002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腺样体刮除术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330611006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颈外进路咽旁间隙肿物摘除术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1369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330701005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气管切开术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一次性气管套管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399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330701022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喉良性肿瘤切除术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咽肿瘤参照执行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1346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经支撑喉镜加收90元</w:t>
            </w:r>
            <w:r>
              <w:rPr>
                <w:rStyle w:val="10"/>
                <w:rFonts w:hint="eastAsia" w:ascii="仿宋" w:hAnsi="仿宋" w:eastAsia="仿宋" w:cs="仿宋"/>
                <w:sz w:val="21"/>
                <w:szCs w:val="21"/>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330701025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经支撑喉镜激光声带肿物切除术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喉瘢痕切除术参照执行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330702002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含淋巴结清扫</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2528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330702003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肺段切除术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2351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330702005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肺楔形切除术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2539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1467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330702009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肺大泡切除修补术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结扎、固化分别参照执行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2309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1963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1334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330702010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胸膜肺全切除术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3514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330702011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开胸探查术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923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胸壁结核病灶清除术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含病灶窦道、死骨、肋骨切除、肌肉瓣充填。腹壁结核病灶清除术参照执行。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1720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小儿鸡胸矫正术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胸骨抬举固定或胸骨翻转缝合松解粘连带、小儿漏斗胸矫正术分别参照执行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固定合金钉</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1465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胸腔闭式引流术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肋间引流或经肋床引流或开放引流及胸腔、腹腔穿刺置管术分别参照执行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一次性闭式引流瓶</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胸膜剥脱术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部分胸膜剥脱及全胸膜剥脱术分别参照执行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1992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脓胸引流清除术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早期脓胸及晚期脓胸的引流清除、脓性纤维膜剥脱胸腔冲洗引流分别参照执行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1639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1179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330703022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胸膜粘连烙断术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1459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330801012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肺动脉瓣狭窄矫治术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含肺动脉扩大补片、肺动脉瓣交界切开(或瓣成形)、右室流出道重建术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人工血管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2401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330801017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房间隔缺损修补术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单心房间隔再造术,Ⅰ、Ⅱ孔房缺分别参照执行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2215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原发孔加收20%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330801018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室间隔缺损直视修补术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含缝合法</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3097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2477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330801019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部分型心内膜垫缺损矫治术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Ⅰ孔房缺修补术、二尖瓣、三尖瓣成形术分别参照执行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人工血管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3902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330801023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法鲁氏四联症根治术(大)</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含应用外通道</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4896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3916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330802003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冠状动脉搭桥术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含搭桥血管材料的获取术。大隐静脉、桡动脉、左右乳内动脉、胃网膜右动脉、腹壁下动脉等搭桥术参照执行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银夹</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每支吻合血管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含1只吻合血管，以后每增加1只吻合血管加收1000元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330802006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非体外循环冠状动脉搭桥术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一次性特殊牵开器、银夹</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每支吻合血管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7579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5798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4638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330802018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右室双出口矫治术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内隧道或内通道或左室流出道成形及右室流出道成形术分别参照执行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人工血管、同种异体血管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4145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330802023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主动脉缩窄矫治术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主动脉补片成形、左锁骨下动脉反转修复缩窄、人工血管移植或旁路移植或直接吻合术分别参照执行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人工血管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4159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2995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330802031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主动脉弓中断矫治术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主动脉弓重建(如人工血管移植或直接吻合)、动脉导管闭合和室缺修补术分别参照执行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人工血管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5444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4355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330802033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主动脉弓置换术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全弓、次全弓替换,除主动脉瓣以外的胸主动脉分别参照执行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5240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330803012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左房血栓清除术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2173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330803013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左房折叠术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颈动脉瘤切除＋血管移植术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颈动脉假性动脉瘤、外伤性动—静脉瘘、颈动脉过度迂曲的切除分别参照执行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3068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自体大隐静脉或其它血管的取用加收1000元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330804050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肢体动静脉修复术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外伤、血管破裂、断裂吻合、及补片成形分别参照执行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1964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1336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330804062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大隐静脉高位结扎＋剥脱术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大、小隐静脉曲张分别参照执行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1361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330804063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小动脉吻合术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指、趾动脉吻合分别参照执行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2164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1839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1563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1250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330804064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小动脉血管移植术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交通支结扎术，指、趾血管移植分别参照执行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330804070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大隐静脉闭合术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1016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330900001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淋巴结穿刺术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330900003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颈淋巴结清扫术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1965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330900004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腋窝淋巴结清扫术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1498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1273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1146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330900009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胸导管结扎术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乳糜胸外科治疗参照执行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1144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330900013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肢体淋巴管-静脉吻合术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每支吻合血管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1278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331001011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食管癌根治术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胸内胃食管吻合(主动脉弓下，弓上胸顶部吻合)及颈部吻合术分别参照执行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5079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3108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331001018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食管再造术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胃、肠代食管等分别参照执行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2736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331002001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胃肠切开取异物</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局部肿瘤切除参照执行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1647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331002004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远端胃大部切除术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胃、十二指肠吻合（BillrothI式）、胃空肠吻合（BillrothⅡ式）或胃—空肠Roux-y型吻合分别参照执行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2586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2198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1978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1582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331002005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含保留胃近端与十二指肠或空肠吻合、区域淋巴结清扫。不含联合其他脏器切除</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331002009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胃肠造瘘术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胃或小肠切开置造瘘管分别参照执行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一次性造瘘管</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945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331002013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胃迷走神经切断术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选择性迷走神经切除及迷走神经干切断分别参照执行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1116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331003005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小儿原发性肠套叠手术复位</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不含肠坏死切除吻合、肠造瘘、肠外置、阑尾切除、继发性肠套叠病灶手术处置、肠减压术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1186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331003007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肠切除术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小肠、回盲部结肠部分切除分别参照执行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965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331003016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先天性肠腔闭锁成形术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包括小肠结肠。不含多处闭锁</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1780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331003020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结肠癌根治术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含左半结肠、右半结肠、横结肠切除及淋巴清扫。</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1831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331003022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阑尾切除术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指单纯性</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化脓性、坏疽性分别加收200元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331004009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直肠肛门周围脓肿切开排脓术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331004011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经腹会阴直肠癌根治术(Miles手术)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含结肠造口，区域淋巴结清扫。不含子宫、卵巢切除</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3278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2786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331004012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经腹直肠癌根治术(Dixon手术)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含保留肛门，区域淋巴结清扫。不含子宫、卵巢切除</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2155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331004020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肛周常见疾病手术治疗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指电凝法，痔、肛裂、息肉、疣、肥大肛乳头、痣等切除或套扎及肛周肿物切除术分别参照执行；不含复杂肛瘘、高位肛瘘</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激光、套扎等法可分别加收200元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331005013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肝部分切除术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含肝活检术。各肝段切除参照执行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2042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331005015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半肝切除术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左半肝或右半肝切除术分别参照执行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2746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331005016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肝三叶切除术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左三叶或右三叶切除术或复杂肝癌切除分别参照执行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3765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331005022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肝内胆管U形管引流术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331006002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胆囊切除术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胆囊切开取石术参照执行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331006011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胆总管探查T管引流术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不含术中B超、术中胆道镜检查和术中胆道造影</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术中取石、冲洗加收20%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331006013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经十二指肠镜乳头扩张术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331007006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胰十二指肠切除术（Whipple手术）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含各种胰管空肠吻合、胃空肠吻合术、胆管肠吻合术，胰体癌或壶腹周围癌根治术分别参照执行。不含脾切除术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5709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3882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331007007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胰体尾切除术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不含血管切除吻合术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331007011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胰管空肠吻合术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3078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1779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331007019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坏死性胰腺炎清创引流术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1368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331008001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腹股沟疝修补术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各种方法修补分别参照执行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补片</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331008015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腹膜后肿瘤切除术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不含其它脏器切除术、血管切除吻合术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2839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2044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331101002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肾固定术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1176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331101009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肾部分切除术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1640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331101013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肾实质切开造瘘术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1076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861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331103026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经尿道膀胱肿瘤特殊治疗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指电灼、激光法，腺性膀胱炎切除参照执行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电切法可加收500元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331201001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前列腺癌根治术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含淋巴结清扫和取活检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2747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331202007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交通性鞘膜积液修补术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1246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1059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331203002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输精管附睾吻合术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331204015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阴茎阴囊移位整形术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1846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增加会阴型尿道下裂修补时加收50%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331301002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卵巢囊肿剔除术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烧灼术参照执行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1186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948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331301006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卵巢癌根治术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含全子宫+双附件切除+网膜切除+阑尾切除+肿瘤细胞减灭术(盆、腹腔转移灶切除)+盆腹腔淋巴结清除术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2356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如膀胱或肠管部分切除加收30%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331301009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卵巢移位术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768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331302004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输卵管切除术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宫外孕的各类手术(如输卵管开窗术)分别参照执行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705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宫颈环形电切术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孕期子宫内口缝合术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331303013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阴式全子宫切除术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1245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331303014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腹式全子宫切除术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1877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1149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全子宫+双附件切除术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1558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1246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广泛性子宫切除+盆腹腔淋巴结清除术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4069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3459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2490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331303026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阔韧带内肿瘤切除术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331305005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外阴良性肿物切除术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肿瘤、囊肿、赘生物等分别参照执行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331305010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外阴广泛切除+淋巴结清除术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含腹股沟淋巴、股深淋巴、盆、腹腔淋巴结清除术。不含特殊引流</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2114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331306002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盆腔粘连分离术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人工破膜术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单胎顺产接生</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含产程观察，阴道或肛门检查，胎心监测及脐带处理、会阴裂伤修补及侧切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793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有剖宫产史加收30%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双胎接生</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含产程观察，阴道或肛门检查，胎心监测及脐带处理，会阴裂伤修补及侧切</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死胎接生</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含中期引产接生。不含死胎尸体分解及尸体处理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难产接生</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含产程观察，阴道或肛门检查，胎心监测及脐带处理，会阴裂伤修补及侧切。臀位助产、臀位牵引、胎头吸引、胎头旋转、产钳助产分别参照执行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331400010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手取胎盘术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331400015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二次剖宫产术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含腹部疤痕剔除术</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2278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331400017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选择性减胎术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1515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1160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928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射频消融术加收200元（仅限于单绒毛膜双胎/多胎需要减胎的患者）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颈椎钩椎关节切除术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不含植骨</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植骨及内固定材料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每节 椎骨</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2430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331501024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后入路环枢椎植骨融合术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3206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2180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331501027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环枢椎侧块螺钉内固定术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前路或后路分别参照执行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3580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2434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331501035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经皮椎间盘吸引术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1810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1303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331501041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腰椎滑脱植骨融合术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含前入路植骨融合</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植骨及内固定材料</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1659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331501042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腰椎滑脱椎弓根螺钉内固定植骨融合术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脊柱滑脱复位内固定参照执行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3366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2861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1945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如需行椎板切除减压间盘摘除加收30%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331501052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脊柱椎间融合器植入植骨融合术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含脊髓神经根松解、椎板切除减压、脊髓探查、骨折切开复位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331501059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经皮椎体成形术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髓核成形术参照执行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定向椎体成形工具、骨水泥注射器、骨水泥搅拌注入系统</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每椎体</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2386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1379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每增加一间盘加收50%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331501060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人工椎体置换术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颈、胸、腰椎体置换分别参照执行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人工椎体</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每椎体</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3705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2835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2268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每增加一间盘加收50%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331504011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骨髓炎切开引流灌洗术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1201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331505001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锁骨骨折切开复位内固定术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331505004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肱骨骨折切开复位内固定术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髁上、髁间分别参照执行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1446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1157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331505016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股骨转子间骨折内固定术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2688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1828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331505017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股骨干骨折切开复位内固定术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2563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2179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1961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1569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331505021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胫骨干骨折切开复位内固定术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2341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331506009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髌骨半脱位外侧切开松解术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髌韧带挛缩松解、前（后）交叉韧带紧缩分别参照执行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1290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1032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331506012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膝关节陈旧性前十字韧带重建术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3576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3040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2584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2068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331506019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半月板切除术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1849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1572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激光加收10%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331508001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骨骺肌及软组织肿瘤切除术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331508003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骨骺固定术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331509005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髂骨取骨术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518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331521020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小肌肉挛缩切断术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755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331601001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乳腺肿物穿刺术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含活检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乳腺立体定位加收50%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331601002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乳腺肿物切除术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窦道、乳头状瘤、小叶、象限切除、乳腺微创旋切术参照执行分别参照执行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旋切探针</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单侧</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789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570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331602006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海绵状血管瘤切除术(中)</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指面积小于10cm2，未达肢体一周及肢体1／4长度；体表血管瘤、脂肪血管瘤、淋巴血管瘤、纤维血管瘤、神经纤维血管瘤分别参照执行。不含皮瓣或组织移植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需植皮术加收40%；激光手术加收50%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331602007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海绵状血管瘤切除术(小)</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指面积在3cm2以下；体表血管瘤、脂肪血管瘤、淋巴血管瘤、纤维血管瘤、神经纤维血管瘤，位于躯干、四肢体表、侵犯皮肤脂肪层、浅筋膜未达深筋膜分别参照执行。不含皮瓣或组织移植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需植皮术加收40%；激光手术加收50%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331604027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阔筋膜切取术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807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583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467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331604028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游离皮瓣切取移植术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深度烧伤的早期修复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3171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2282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331604031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带蒂肌瓣切取移植术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深度烧伤的早期修复</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1891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1512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340100017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超声波治疗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单纯超声、超声药物透入、超声雾化分别参照执行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每5分钟</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联合治疗加收50%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340100018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电子生物反馈疗法</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肌电、皮温、皮电、脑电、心率各种生物反馈分别参照执行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340100031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放射式冲击波疼痛治疗(RSWT)</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用体外冲击波技术，在超声波定位下，确定治疗区域。使用治疗能量为2-4巴，冲击次数2000次，冲击频率5-10赫兹，治疗足底筋膜炎、钙化性肌腱炎、非钙化性肌腱炎、跟腱痛、转子滑囊炎、骼胫摩擦综合征、桡侧或尺侧肱骨上髁炎、胫骨缘综合征、常见性附着肌腱炎、肌触发痛点等。不含超声引导、心电图检查、血凝检查。</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340100032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岩盐气溶胶治疗</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利用气溶盐胶的吸入有效减轻呼吸道粘膜水肿，减少气道的分泌物，促进粘液纤毛的廓清作用，快速改善患者症状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小时</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运动疗法</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全身肌力训练、各关节活动度训练、徒手体操、器械训练、步态平衡功能训练、骨质疏松治疗、呼吸训练分别参照执行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减重支持系统训练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轮椅功能训练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电动起立床训练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340200025</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手功能训练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支具</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关节松动训练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小关节(指关节)、大关节分别参照执行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有氧训练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氧气</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340200029</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引导式教育训练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340200031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作业疗法</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含日常生活动作训练</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自助具</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340200032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职业功能训练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45分钟/次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340200034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言语训练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340200036</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构音障碍训练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340200037</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吞咽功能障碍训练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340200038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认知知觉功能障碍训练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340200041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脑瘫肢体综合训练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288</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340200042</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截瘫肢体综合训练</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40分钟 /次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43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289</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311503003</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精神科监护</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对急性、冲动、自杀、伤人、毁物的病人及有外走、妄想、幻觉和木僵的病人实施监护。监护并记录的内容包括：生命体征，意识状态，精神状况，认知，情感，意向行为，对治疗合作度，安全，进食，排泄，一般生活自理，药物不良反应及躯体合并症等</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290</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120400011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中心静脉穿刺置管术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PICC置管、深静脉穿刺置管术参照执行</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中心静脉套件、测压套件</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测压加收5元/次。6周岁及以下儿童在相应价格基础上加收30%。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330804054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动静脉人工内瘘成形术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331003008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肠粘连松解术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1430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1216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876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331303004</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宫颈锥形切除术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822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699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629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503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294</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331303011</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经腹子宫肌瘤剔除术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1287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1094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985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788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295</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331501038</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腰椎间盘突出摘除术</w:t>
            </w: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2302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1957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1761 </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1409 </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bl>
    <w:p>
      <w:pPr>
        <w:pStyle w:val="2"/>
        <w:jc w:val="both"/>
        <w:rPr>
          <w:rFonts w:hint="eastAsia" w:ascii="仿宋_GB2312" w:hAnsi="仿宋_GB2312" w:eastAsia="仿宋_GB2312" w:cs="仿宋_GB2312"/>
          <w:sz w:val="32"/>
          <w:szCs w:val="32"/>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A9D27"/>
    <w:multiLevelType w:val="singleLevel"/>
    <w:tmpl w:val="C10A9D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YzhlOTE4YTg3ZGE3Y2NiMDAzYWU5NDAyNjA5OTQifQ=="/>
  </w:docVars>
  <w:rsids>
    <w:rsidRoot w:val="4D1D386D"/>
    <w:rsid w:val="05254E81"/>
    <w:rsid w:val="137B6951"/>
    <w:rsid w:val="2F6D385E"/>
    <w:rsid w:val="42CA4D39"/>
    <w:rsid w:val="430D368B"/>
    <w:rsid w:val="4D1D386D"/>
    <w:rsid w:val="4DE71CFE"/>
    <w:rsid w:val="50EC3FE1"/>
    <w:rsid w:val="55F46982"/>
    <w:rsid w:val="5F7B531D"/>
    <w:rsid w:val="671F424D"/>
    <w:rsid w:val="78600466"/>
    <w:rsid w:val="7AD3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Body Text Indent"/>
    <w:basedOn w:val="1"/>
    <w:next w:val="4"/>
    <w:autoRedefine/>
    <w:qFormat/>
    <w:uiPriority w:val="0"/>
    <w:pPr>
      <w:spacing w:after="120"/>
      <w:ind w:left="200" w:leftChars="200"/>
    </w:pPr>
    <w:rPr>
      <w:rFonts w:eastAsia="宋体"/>
    </w:rPr>
  </w:style>
  <w:style w:type="paragraph" w:styleId="4">
    <w:name w:val="Body Text Indent 2"/>
    <w:basedOn w:val="1"/>
    <w:autoRedefine/>
    <w:qFormat/>
    <w:uiPriority w:val="0"/>
    <w:pPr>
      <w:spacing w:line="500" w:lineRule="exact"/>
      <w:ind w:firstLine="564"/>
    </w:pPr>
    <w:rPr>
      <w:rFonts w:ascii="Times New Roman" w:hAnsi="Times New Roman" w:eastAsia="宋体" w:cs="Times New Roman"/>
    </w:rPr>
  </w:style>
  <w:style w:type="paragraph" w:styleId="5">
    <w:name w:val="footer"/>
    <w:basedOn w:val="1"/>
    <w:next w:val="1"/>
    <w:qFormat/>
    <w:uiPriority w:val="99"/>
    <w:pPr>
      <w:tabs>
        <w:tab w:val="center" w:pos="4153"/>
        <w:tab w:val="right" w:pos="8306"/>
      </w:tabs>
      <w:autoSpaceDE w:val="0"/>
      <w:autoSpaceDN w:val="0"/>
      <w:snapToGrid w:val="0"/>
      <w:spacing w:line="240" w:lineRule="atLeast"/>
      <w:jc w:val="left"/>
    </w:pPr>
    <w:rPr>
      <w:rFonts w:ascii="Times New Roman" w:hAnsi="Times New Roman" w:eastAsia="Times New Roman" w:cs="Times New Roman"/>
      <w:kern w:val="0"/>
      <w:sz w:val="18"/>
      <w:szCs w:val="18"/>
      <w:lang w:val="zh-CN" w:bidi="zh-CN"/>
    </w:rPr>
  </w:style>
  <w:style w:type="paragraph" w:styleId="6">
    <w:name w:val="Body Text First Indent 2"/>
    <w:basedOn w:val="3"/>
    <w:next w:val="1"/>
    <w:autoRedefine/>
    <w:qFormat/>
    <w:uiPriority w:val="0"/>
    <w:pPr>
      <w:spacing w:before="100" w:beforeAutospacing="1" w:after="0"/>
      <w:ind w:firstLine="200" w:firstLineChars="200"/>
    </w:pPr>
    <w:rPr>
      <w:rFonts w:ascii="Calibri" w:hAnsi="Calibri"/>
    </w:rPr>
  </w:style>
  <w:style w:type="character" w:styleId="9">
    <w:name w:val="Hyperlink"/>
    <w:basedOn w:val="8"/>
    <w:qFormat/>
    <w:uiPriority w:val="0"/>
    <w:rPr>
      <w:color w:val="0000FF"/>
      <w:u w:val="single"/>
    </w:rPr>
  </w:style>
  <w:style w:type="character" w:customStyle="1" w:styleId="10">
    <w:name w:val="font01"/>
    <w:basedOn w:val="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2023-12-20T06:55:00Z</dcterms:created>
  <dc:creator>WPS_1682495927</dc:creator>
  <cp:lastModifiedBy>WPS_1682495927</cp:lastModifiedBy>
  <cp:lastPrinted>2023-12-21T01:29:00Z</cp:lastPrinted>
  <dcterms:modified xsi:type="dcterms:W3CDTF">2023-12-21T03:32:00Z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ECD4409AE5C24B3DA40841EFAF2DC269_13</vt:lpwstr>
  </property>
</Properties>
</file>