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100"/>
          <w:kern w:val="0"/>
          <w:sz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w w:val="100"/>
          <w:kern w:val="0"/>
          <w:sz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w w:val="100"/>
          <w:kern w:val="0"/>
          <w:sz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w w:val="100"/>
          <w:kern w:val="0"/>
          <w:sz w:val="44"/>
          <w:lang w:eastAsia="zh-CN"/>
        </w:rPr>
        <w:t>年财政重点绩效评价公开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实现全面预算绩效管理工作的全力推进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，规范和加强财政资金使用管理，提高财政资金使用效益，我局委托湖南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天岳、湖南业兴、湖南合普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3个事务所，分别第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对高龄和百岁补贴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、学前教育发展专项资金、茅太新村美丽乡村建设项目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11个项目进行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重点绩效评价。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此次重点绩效评价涉及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个资金主管部门：民政局、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城管局、教育局、农业农村局、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响石岭街道办事处、井龙街道办事处、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社保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</w:rPr>
        <w:t>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（评价结果见附表）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0"/>
        <w:gridCol w:w="4080"/>
        <w:gridCol w:w="1275"/>
        <w:gridCol w:w="1275"/>
        <w:gridCol w:w="1455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年石峰区绩效评价项目情况表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资金使用单位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子项目名称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评价金额（万元）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评价得分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评价等级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评价事务所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高龄和百岁补贴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湖南合普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残疾人生活和护理补贴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中央彩票公益金支持社会福利事业专项资金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养老服务专项资金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271.78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社保中心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失业保险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1735.55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湖南业兴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茅太新村美丽乡村建设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响石岭街道办事处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响石岭街道部门整体绩效评价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1027.0601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区城管局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田心、响石岭片区老旧小区市政环卫配套基础设施项目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湖南天岳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井龙街道办事处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井龙街道部门整体绩效评价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731.8864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区教育局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学前教育发展专项资金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1185.43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Times New Roman"/>
                <w:bdr w:val="none" w:color="auto" w:sz="0" w:space="0"/>
                <w:lang w:val="en-US" w:eastAsia="zh-CN" w:bidi="ar"/>
              </w:rPr>
              <w:t>区教育局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义务教育薄弱环节改造专项资金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</w:t>
            </w:r>
          </w:p>
        </w:tc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评价等级说明：总分一般设置为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分，等级分为四档：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分（含）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—100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分为优，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分（含）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—90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分为良，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分（含）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—80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分为一般，</w:t>
            </w:r>
            <w:r>
              <w:rPr>
                <w:rStyle w:val="11"/>
                <w:rFonts w:eastAsia="宋体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分以下为差。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00000000"/>
    <w:rsid w:val="0A9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9">
    <w:name w:val="font10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7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2023-12-20T16:20:44Z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04173CD6296D4EC8A990099AC81E1F2E_12</vt:lpwstr>
  </property>
</Properties>
</file>