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  <w:highlight w:val="none"/>
        </w:rPr>
      </w:pPr>
      <w:r>
        <w:rPr>
          <w:rFonts w:hint="eastAsia" w:eastAsia="方正小标宋_GBK"/>
          <w:sz w:val="48"/>
          <w:szCs w:val="48"/>
          <w:highlight w:val="none"/>
          <w:lang w:val="en-US" w:eastAsia="zh-CN"/>
        </w:rPr>
        <w:t>2022</w:t>
      </w:r>
      <w:r>
        <w:rPr>
          <w:rFonts w:eastAsia="方正小标宋_GBK"/>
          <w:sz w:val="48"/>
          <w:szCs w:val="48"/>
          <w:highlight w:val="none"/>
        </w:rPr>
        <w:t>年度</w:t>
      </w:r>
      <w:r>
        <w:rPr>
          <w:rFonts w:hint="eastAsia" w:eastAsia="方正小标宋_GBK"/>
          <w:sz w:val="48"/>
          <w:szCs w:val="48"/>
          <w:highlight w:val="none"/>
          <w:lang w:eastAsia="zh-CN"/>
        </w:rPr>
        <w:t>芦淞区委统战部</w:t>
      </w:r>
      <w:r>
        <w:rPr>
          <w:rFonts w:eastAsia="方正小标宋_GBK"/>
          <w:sz w:val="48"/>
          <w:szCs w:val="48"/>
          <w:highlight w:val="none"/>
        </w:rPr>
        <w:t>整体支出</w:t>
      </w:r>
    </w:p>
    <w:p>
      <w:pPr>
        <w:jc w:val="center"/>
        <w:rPr>
          <w:rFonts w:eastAsia="方正小标宋_GBK"/>
          <w:sz w:val="48"/>
          <w:szCs w:val="48"/>
          <w:highlight w:val="none"/>
        </w:rPr>
      </w:pPr>
      <w:r>
        <w:rPr>
          <w:rFonts w:eastAsia="方正小标宋_GBK"/>
          <w:sz w:val="48"/>
          <w:szCs w:val="48"/>
          <w:highlight w:val="none"/>
        </w:rPr>
        <w:t>绩效自评报告</w:t>
      </w: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  <w:highlight w:val="none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  <w:highlight w:val="none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单位名称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:中共株洲市芦淞区委统战部</w:t>
      </w: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黑体"/>
          <w:sz w:val="32"/>
          <w:szCs w:val="32"/>
          <w:highlight w:val="none"/>
        </w:rPr>
      </w:pPr>
    </w:p>
    <w:p>
      <w:pPr>
        <w:jc w:val="center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（一）单位基本情况</w:t>
      </w:r>
    </w:p>
    <w:p>
      <w:pPr>
        <w:keepNext w:val="0"/>
        <w:keepLines w:val="0"/>
        <w:pageBreakBefore w:val="0"/>
        <w:tabs>
          <w:tab w:val="left" w:pos="339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bookmarkStart w:id="0" w:name="_Toc47992619"/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机构设置</w:t>
      </w:r>
      <w:bookmarkEnd w:id="0"/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eastAsia="zh-CN"/>
        </w:rPr>
        <w:t>情况。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根据芦办发〔2019〕17号文件，区统战部内设办公室、民主党派和侨务工作办公室、民族宗教工作办公室3个科室。下设芦淞区党外知识分子服务中心1个所属事业单位。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outlineLvl w:val="1"/>
        <w:rPr>
          <w:rFonts w:hint="default" w:ascii="Times New Roman" w:hAnsi="Times New Roman" w:cs="Times New Roman"/>
          <w:highlight w:val="none"/>
        </w:rPr>
      </w:pPr>
      <w:bookmarkStart w:id="1" w:name="_Toc47992620"/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主要职责</w:t>
      </w:r>
      <w:bookmarkEnd w:id="1"/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组织贯彻执行党和国家关于统一战线的方针、政策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向区委反映统战政策的执行情况，提出开展统战工作的意见、建议和安排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研究拟订区委统战工作的计划并组织实施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负责开展统战理论研究和统战方针政策的宣传、教育工作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协调我区统一战线各方面的关系。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负责联系我区各民主党派和无党派代表人士，及时通报情况，反映他们的意见和建议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贯彻党领导的多党合作和政治协商制度以及对民主党派的方针、政策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支持各民主党派加强自身建设，指导和帮助他们开展调查研究、建言献策和民主监督工作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协助有关部门帮助民主党派改善工作条件。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贯彻执行党的民族、宗教的方针政策,了解情况，掌握动态，协调关系，提出政策性建议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会同有关部门妥善解决民族、宗教方面的问题，维护本区的安定团结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联系少数民族和宗教界的代表人士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协助有关部门做好少数民族干部的培养和举荐工作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办理各项民族宗教事务工作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依法管理民族宗教事务，巩固和扩大民族宗教界的爱国政治联盟。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负责开展以祖国统一为重点的海外统战工作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贯彻党中央、国务院港澳台侨方面的方针政策，向区委、区政府提供侨务、对台工作信息以及工作建议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广泛开展海外联络联谊活动，加强海外宣传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做好侨、台胞和侨、台属的有关工作。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调查研究党外知识分子的情况，反映意见，协调关系，提出政策性建议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联系并培养党外知识分子的代表人士，重点做好无党派知识分子代表人士的工作。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负责指导各镇、街道、区级机关部门统战工作的统一战线两支队伍的培训工作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 xml:space="preserve"> 管理区民宗局工作。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完成区委和上级统战部门交办的其他工作。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机构设置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统战部是区委工作机关，对外加挂区民族宗教事务局牌子。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人员情况</w:t>
      </w:r>
      <w:r>
        <w:rPr>
          <w:rFonts w:hint="eastAsia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根据中共株洲市芦淞区委办公室关于印发《中共株洲市芦淞区委统一战线工作部职能配置、内设机构和人员编制规定》（芦办发〔2019〕17号）的规定，区统战部人员行政编制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名，下设一个副科级全额拨款公益一类事业单位，事业编制3名。截至202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年12月，单位实有在职人员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人，均为在职在编人员。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区委统战部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2022年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整体支出绩效目标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年度整体支出绩效目标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认真落实中央和省市委关于统一战线系列重大决策部署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扎实做好非公有制经济领域统战工作；积极做好民主党派和无党派人士工作；扎实做好党外知识分子尤其是新的社会阶层人士统战工作；扎实做好新形势下的民族宗教工作；积极推动港澳台海外统战工作；全面加强统战系统自身建设。　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民主党派建设经费：协助各民主党派加强自身建设，按照民主党派基层支部建设“五有”要求给予调研考察经费等支持。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2022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年预算资金221.91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万元。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2.2022年度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265.24万元。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2022年度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支出265.24万元。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69.75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195.49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171.74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23.75万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元。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项目支出情况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1.民族工作专项经费4.68万元；2.民族宗教工作经费5.01万元；3.上级专项1.54万元；4.统战工作经费33.72万元；5.统战经费19.98万元；6.统战特别经费4.79万元；7.知联会共识教育活动工作经费0.03万元。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六、资金使用及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绩效情况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1.坚持正确方向，统战工作格局持续优化。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一是高位谋划、统筹推动。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把党对统战工作的集中统一领导放到首要位置，区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委常委会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学习传达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中央统战工作会议精神和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各级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统战部长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会议精神，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专题研究统战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领域重点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，区委书记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全区党务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工作会议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对统战工作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出明确要求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二是顺畅机制、形成合力。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区委书记主持召开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区委统一战线工作领导小组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2022年第一次会议和宗教联席工作会议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，进一步理顺各成员单位职责职能，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形成齐抓共管工作格局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将中央统战工作会议精神纳入8月份主题党日学习范畴，组织各级各部门集中学习会议精神，在全区迅速线掀起学习热潮。三是突出培养、建强队伍。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名统战代表人士纳入区领导“十个一”联点范畴，牵头做好第六届政协委员届中增补工作，推荐党外委员10名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占比71.4%。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组织统战干部参加统一战线、统计税务等专题培训。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 w:bidi="ar-SA"/>
        </w:rPr>
        <w:t>严格落实党外干部配备要求，全年提拔、重用党外干部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 w:bidi="ar-SA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2.坚持凝心聚力，思想政治共识持续深化。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一是聚焦党的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二十大组织了一系列主题活动。组织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统一战线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五送进基层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拍摄了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《活力新阶层·芦淞新动力》宣传片，举办了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“寄语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二十大·同框送祝福”主题活动，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制作的《喜迎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二十大·新阶层心向党》作为收官之作在省新阶联微信公众号上传播，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组织全区统一战线在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线上会议室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共同见证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二十大”开幕式盛况，在“全区统一战线热议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二十大”专栏刊发学习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二十大报告心得体会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。二是聚焦中心大局开展了一系列社会服务活动。各统战团体发挥优势，组织开展了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“你一朵小红花”残健共融儿童活动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“寒冬助学送温暖”、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“九三科技讲堂”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、“关爱留守儿童”、“点亮心灯”、“万企兴万村”等社会服务活动，得到群众一致点赞。三是聚焦疫情防控凝聚了最广泛地统战力量。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面对新一轮新冠肺炎疫情爆发，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广大统战成员闻令而动，奔赴隔离酒店、封控卡口、社区小区等抗疫一线，汇聚起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同心抗“疫”的强大合力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。截至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目前，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全区统一战线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开展志愿服务活动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468人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累计捐款捐物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348.57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3.坚持守正创新，统战法宝作用持续彰显。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一是政党协商多元化。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持续开展区领导带头开展联谊交友活动，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充分发挥党外代表人士在人大、政协中参政议政的作用，组织政情通报会，深入开展“四明白四清楚”大调研活动，形成了高质量调研成果15篇，在丰富生动的政党协商实践中凝聚智慧力量。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二是政企沟通常态化。深入贯彻落实“民营经济十条”，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区委书记、区长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开展政企早餐活动9次，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开展“企业家看企业”以及“创文入企”活动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家“芦淞区爱心商会”代表授牌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，深入开展助企纾困政策上门宣讲，提振市场主体发展信心。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伟大集团、株百入选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省民营企业百强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，株百、伟大、华锐、神通广电、仁仁洁入选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株洲民营企业50强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三是新阶工作长效化。按照分级分类的原则，先后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成立天泽华丽市场群分会、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建设街道分会和董家塅片区分会，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推动区新阶联分会组织进街道、进市场、进园区。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持续打造实践创新基地，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在株洲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汉·悦中心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打造“红星荟”商圈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实践创新基地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为新阶层人士提供了新的联谊交友、健康成长的平台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4.坚持春风化雨，稳定团结局面持续稳固。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大力促进民族团结。在芦淞群举行“株洲市民族团结进步宣传月暨芦淞区市场主体培育推进月”启动仪式，深入挖掘各民族同胞在芦淞打拼的故事，为8名入学困难的少数民族子女解决就学问题，推动中华民族共同体意识深入人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二是持续压实主体责任。持续落实“三级网络两级责任制”，开展宗教领域房屋安全隐患大排查工作。今年以来整治非法宗教活动5起、开展专项摸排行动3次、摸查场所55次、排查整治安全隐患2处，确保宗教领域和谐稳定。三是切实做好风险防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fill="FFFFFF"/>
          <w:lang w:eastAsia="zh-CN"/>
        </w:rPr>
        <w:t>面对严峻复杂的疫情形势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，严格落实“日巡查、日报告”制度，切实做好宗教领域和民间信仰场所的疫情防控工作。深入开展疫情防控宣传，引导统战成员切实增强个人风险防范意识，筑牢安全防线。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专项资金支出绩效情况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基层民主党派工作经费专项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主要用于辖区内民主党派的建设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及开展调研活动经费。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民宗工作经费主要用于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宣传贯彻落实党和国家的民族政策，维护民族团结、社会稳定和国家统一，妥善处理影响民族团结的各类问题。开展宗教工作，维护民族宗教领域稳定。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新阶层、侨海、四同等其他统战工作经费用于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引导统一战线成员助力乡村振兴战略实施，创建一批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同心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示范点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创建新的社会阶层人士实践创新基地。开展新的社会阶层人士和党外知识分子联谊交友、咨政建言等工作。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存在的问题及原因分析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工作开展未做到全方位，民族宗教和新的社会阶层人士统战工作投入的人力、财力比较多，其他统战工作相对占比较小；在充分发挥民主党派建言献策工作上有待提高。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本单位将加强预算资金管理，完善管理制度，规范使用资金，提高资金运行绩效；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围绕区委中心工作大局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，精准施策，着力推进统战工作迈上新台阶。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绩效自评结果拟应用和公开情况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针对绩效自评结果问题，加以分析研究，在以后工作中逐步改进。本单位无单独网站，绩效自评结果将于决算报表一起在芦淞区政府官网上统一公开。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42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D5F1A"/>
    <w:multiLevelType w:val="singleLevel"/>
    <w:tmpl w:val="95CD5F1A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7EFAF23"/>
    <w:multiLevelType w:val="singleLevel"/>
    <w:tmpl w:val="97EFAF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D9DB80"/>
    <w:multiLevelType w:val="singleLevel"/>
    <w:tmpl w:val="ECD9DB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77C1F90"/>
    <w:multiLevelType w:val="singleLevel"/>
    <w:tmpl w:val="477C1F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A665D18"/>
    <w:multiLevelType w:val="singleLevel"/>
    <w:tmpl w:val="5A665D1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C51F07"/>
    <w:rsid w:val="01EF5276"/>
    <w:rsid w:val="02665DCF"/>
    <w:rsid w:val="02A86D87"/>
    <w:rsid w:val="02AE4CCA"/>
    <w:rsid w:val="02D92DDA"/>
    <w:rsid w:val="03287320"/>
    <w:rsid w:val="038929F5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265F45"/>
    <w:rsid w:val="08470747"/>
    <w:rsid w:val="0893725C"/>
    <w:rsid w:val="089572CF"/>
    <w:rsid w:val="08A00773"/>
    <w:rsid w:val="08A4283C"/>
    <w:rsid w:val="08E7784D"/>
    <w:rsid w:val="08EF0DD0"/>
    <w:rsid w:val="08F027B4"/>
    <w:rsid w:val="096E7C66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6BD52E1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093160"/>
    <w:rsid w:val="1A4E2E8E"/>
    <w:rsid w:val="1AF51455"/>
    <w:rsid w:val="1B182F58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381B31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2FB549BF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1D398E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0A5199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3B7E57"/>
    <w:rsid w:val="4A5007FC"/>
    <w:rsid w:val="4A6F5457"/>
    <w:rsid w:val="4A885383"/>
    <w:rsid w:val="4AE85958"/>
    <w:rsid w:val="4AF51ADF"/>
    <w:rsid w:val="4AFD5436"/>
    <w:rsid w:val="4B7C2BF9"/>
    <w:rsid w:val="4B920728"/>
    <w:rsid w:val="4B9357A5"/>
    <w:rsid w:val="4BC67BFF"/>
    <w:rsid w:val="4BCE1AAD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4463C8"/>
    <w:rsid w:val="59A40B9B"/>
    <w:rsid w:val="59AB3DEE"/>
    <w:rsid w:val="5A3C1A0D"/>
    <w:rsid w:val="5A6A2A29"/>
    <w:rsid w:val="5A9244F7"/>
    <w:rsid w:val="5AF97A89"/>
    <w:rsid w:val="5B352171"/>
    <w:rsid w:val="5B514882"/>
    <w:rsid w:val="5B5C757D"/>
    <w:rsid w:val="5B6B124E"/>
    <w:rsid w:val="5CAB482F"/>
    <w:rsid w:val="5D155819"/>
    <w:rsid w:val="5D656D7E"/>
    <w:rsid w:val="5DCE0C96"/>
    <w:rsid w:val="5DE454AE"/>
    <w:rsid w:val="5DEC70B2"/>
    <w:rsid w:val="5E1F095F"/>
    <w:rsid w:val="5E482C04"/>
    <w:rsid w:val="5E5D637B"/>
    <w:rsid w:val="5EBE0868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8F77B4C"/>
    <w:rsid w:val="694757F4"/>
    <w:rsid w:val="6B3B48D5"/>
    <w:rsid w:val="6BBF4B8D"/>
    <w:rsid w:val="6C630660"/>
    <w:rsid w:val="6C6E6460"/>
    <w:rsid w:val="6C9165DC"/>
    <w:rsid w:val="6C9331C1"/>
    <w:rsid w:val="6CA17CD4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6BD2353"/>
    <w:rsid w:val="772B072A"/>
    <w:rsid w:val="778F1D5A"/>
    <w:rsid w:val="7836349E"/>
    <w:rsid w:val="78A55F95"/>
    <w:rsid w:val="78B02F32"/>
    <w:rsid w:val="79327EB8"/>
    <w:rsid w:val="7933175D"/>
    <w:rsid w:val="794F5B82"/>
    <w:rsid w:val="79654F33"/>
    <w:rsid w:val="79E234DF"/>
    <w:rsid w:val="7A086EF4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正文文字"/>
    <w:basedOn w:val="1"/>
    <w:next w:val="1"/>
    <w:autoRedefine/>
    <w:qFormat/>
    <w:uiPriority w:val="99"/>
    <w:pPr>
      <w:spacing w:after="120"/>
    </w:pPr>
  </w:style>
  <w:style w:type="paragraph" w:styleId="8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4267</Words>
  <Characters>4429</Characters>
  <Lines>0</Lines>
  <Paragraphs>0</Paragraphs>
  <TotalTime>62</TotalTime>
  <ScaleCrop>false</ScaleCrop>
  <LinksUpToDate>false</LinksUpToDate>
  <CharactersWithSpaces>4450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2023-12-15T02:27:29Z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46B1E17AE7754E13BA78DBD53DD7830E</vt:lpwstr>
  </property>
</Properties>
</file>