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株洲市引导村（居）民规范建房专项资金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管理办法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（征求意见稿）</w:t>
      </w: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总 则</w:t>
      </w:r>
    </w:p>
    <w:p>
      <w:pPr>
        <w:numPr>
          <w:ilvl w:val="0"/>
          <w:numId w:val="2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为规范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株洲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市引导村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民规范建房专项资金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提升乡村建筑风貌，改善农村人居环境，助力乡村振兴战略实施，根据《中华人民共和国预算法》《湖南省农村住房建设管理办法》《株洲市人民政府办公室关于印发株洲市市本级财政专项资金分配审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批管理办法的通知》（株政办﹝2020﹞11号）等法律、法规和文件精神，制定本办法。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p>
      <w:pPr>
        <w:numPr>
          <w:ilvl w:val="0"/>
          <w:numId w:val="2"/>
        </w:numPr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本办法所称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株洲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市引导村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民规范建房专项资金（以下简称“专项资金”），是指由市级财政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年度预算安排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用于引导我市村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居）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民规范建房的资金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费用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numPr>
          <w:ilvl w:val="0"/>
          <w:numId w:val="2"/>
        </w:numPr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专项资金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实行管理办法、申报程序、绩效评价等全过程公开的原则。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使用和管理应遵守国家有关法律法规和相关规章制度，符合财政预算管理的有关规定，先建后补、以奖代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专项资金由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村（居）民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建房和风貌管理工作专班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管理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。专班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研究提出资金分配建议方案、绩效目标、组织实施资金使用绩效评价工作，指导县级财政部门做好项目和资金管理相关工作。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市财政局负责组织专项资金的年度预算编制，审核资金分配方案并下达资金，对资金使用情况进行监督和绩效管理。</w:t>
      </w:r>
    </w:p>
    <w:p>
      <w:pPr>
        <w:numPr>
          <w:ilvl w:val="0"/>
          <w:numId w:val="1"/>
        </w:numPr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资金使用范围</w:t>
      </w:r>
    </w:p>
    <w:p>
      <w:pPr>
        <w:numPr>
          <w:ilvl w:val="0"/>
          <w:numId w:val="2"/>
        </w:numPr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专项资金主要用于实行以奖代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，具体使用范围主要包括：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1.建房户奖励。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经过审批、符合规划、按图建房、建新拆旧、验收合格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的建房户，市财政在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县（市、区）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奖补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基础上配套奖补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，符合集中建房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的，配套奖补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3000元的奖补资金。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2.先进单位奖励。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每年年底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乡镇（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涉农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街道）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辖区内村（居）民建房的依法依规审批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符合规划、按图建房、验收合格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比例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高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</w:rPr>
        <w:t>低，设置一、二、三等奖，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分别给予获奖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乡镇（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涉农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街道）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5万元、3万元、1万元奖励，用于组织开展村（居）民建房管理业务培训和考察学习。一等奖共设3个，其中市级1个，县级2个；二等奖共设8个，其中市级2个，县级6个；三等奖共设13个，其中市级3个，县级10个。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专项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经费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主要用于组织村（居）民建房管理业务培训、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村（居）民住房建设图集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编制、优秀农房设计评选、宣传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推广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专项工作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numPr>
          <w:ilvl w:val="0"/>
          <w:numId w:val="1"/>
        </w:num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资金申报与拨付</w:t>
      </w:r>
    </w:p>
    <w:p>
      <w:pPr>
        <w:numPr>
          <w:ilvl w:val="0"/>
          <w:numId w:val="2"/>
        </w:numPr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专项资金申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报、审批、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拨付:</w:t>
      </w:r>
    </w:p>
    <w:p>
      <w:pPr>
        <w:numPr>
          <w:ilvl w:val="0"/>
          <w:numId w:val="3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建房户奖励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。规范建房实行“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乡镇（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涉农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街道）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申报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申报表详见附件）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审查、市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核定”制度。由县（市、区）政府每半年一次向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村（居）民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建房和风貌管理工作专班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申报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并由工作专班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审查核实，提出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引导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规范建房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补助方案，按程序报批后，由市财政、县（市、区）财政拨付资金。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先进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奖励。县（市、区）每年年底对辖区内各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乡镇（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涉农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街道）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村（居）民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建房和风貌管理工作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情况进行初评，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村（居）民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建房和风貌管理工作专班专班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经抽检后最终确定实际排名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，提出先进县市区具体奖励方案并报市政府批准。市财政按经市政府批准的奖励方案按程序报批、拨付资金。</w:t>
      </w:r>
    </w:p>
    <w:p>
      <w:pPr>
        <w:numPr>
          <w:ilvl w:val="0"/>
          <w:numId w:val="1"/>
        </w:num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资金监管</w:t>
      </w:r>
    </w:p>
    <w:p>
      <w:pPr>
        <w:numPr>
          <w:ilvl w:val="0"/>
          <w:numId w:val="2"/>
        </w:numPr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由县市区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财政部门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牵头，定期对专项资金使用情况进行监督检查，发现问题及时处理并上报;由市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财政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局牵头，每年对县市区专项资金使用情况进行一次检查。</w:t>
      </w:r>
    </w:p>
    <w:p>
      <w:pPr>
        <w:numPr>
          <w:ilvl w:val="0"/>
          <w:numId w:val="2"/>
        </w:numPr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在专项资金的申报、审核和使用过程中，不遵守法律法规或弄虚作假的，擅自调整计划和内容、挤占和截留挪用资金、改变建设规模和建设标准的，按照《财政违法行为处罚处分条例》等有关规定处罚，并追究相关单位及责任人的责任。</w:t>
      </w:r>
    </w:p>
    <w:p>
      <w:pPr>
        <w:numPr>
          <w:ilvl w:val="0"/>
          <w:numId w:val="2"/>
        </w:numPr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各级财政部门或主管部门应配合审计部门对专项资金进行审计。</w:t>
      </w:r>
    </w:p>
    <w:p>
      <w:pPr>
        <w:numPr>
          <w:ilvl w:val="0"/>
          <w:numId w:val="2"/>
        </w:numPr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对专项资金管理执行有力且绩效好的县市区，下年度可优先安排扶持项目，并加大支持力度。</w:t>
      </w:r>
    </w:p>
    <w:p>
      <w:pPr>
        <w:numPr>
          <w:ilvl w:val="0"/>
          <w:numId w:val="1"/>
        </w:num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附则</w:t>
      </w:r>
    </w:p>
    <w:p>
      <w:pPr>
        <w:numPr>
          <w:ilvl w:val="0"/>
          <w:numId w:val="2"/>
        </w:numPr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县市区引导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村（居）民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建房专项资金使用管理办法由县市区制定并实施。</w:t>
      </w:r>
    </w:p>
    <w:p>
      <w:pPr>
        <w:numPr>
          <w:ilvl w:val="0"/>
          <w:numId w:val="2"/>
        </w:numPr>
        <w:ind w:left="0" w:leftChars="0" w:firstLine="640" w:firstLineChars="200"/>
        <w:jc w:val="both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本办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法由市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村（居）民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建房和风貌管理工作专班负责解释，自发布之日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起实施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8F798D"/>
    <w:multiLevelType w:val="singleLevel"/>
    <w:tmpl w:val="B68F798D"/>
    <w:lvl w:ilvl="0" w:tentative="0">
      <w:start w:val="1"/>
      <w:numFmt w:val="chineseCounting"/>
      <w:suff w:val="space"/>
      <w:lvlText w:val="第%1章"/>
      <w:lvlJc w:val="left"/>
      <w:rPr>
        <w:rFonts w:hint="eastAsia" w:ascii="黑体" w:hAnsi="黑体" w:eastAsia="黑体" w:cs="黑体"/>
      </w:rPr>
    </w:lvl>
  </w:abstractNum>
  <w:abstractNum w:abstractNumId="1">
    <w:nsid w:val="3D8BEF23"/>
    <w:multiLevelType w:val="singleLevel"/>
    <w:tmpl w:val="3D8BEF23"/>
    <w:lvl w:ilvl="0" w:tentative="0">
      <w:start w:val="1"/>
      <w:numFmt w:val="chineseCounting"/>
      <w:suff w:val="space"/>
      <w:lvlText w:val="第%1条"/>
      <w:lvlJc w:val="left"/>
      <w:rPr>
        <w:rFonts w:hint="eastAsia" w:ascii="楷体_GB2312" w:hAnsi="楷体_GB2312" w:eastAsia="楷体_GB2312" w:cs="楷体_GB2312"/>
        <w:sz w:val="32"/>
        <w:szCs w:val="32"/>
      </w:rPr>
    </w:lvl>
  </w:abstractNum>
  <w:abstractNum w:abstractNumId="2">
    <w:nsid w:val="54522674"/>
    <w:multiLevelType w:val="singleLevel"/>
    <w:tmpl w:val="5452267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MjNkYTQwNDE0MDllYmU0MzIxYzg3ZGFiYTdlZDgifQ=="/>
  </w:docVars>
  <w:rsids>
    <w:rsidRoot w:val="45834739"/>
    <w:rsid w:val="08D96974"/>
    <w:rsid w:val="45834739"/>
    <w:rsid w:val="5DC50992"/>
    <w:rsid w:val="7F2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line="480" w:lineRule="auto"/>
      <w:jc w:val="center"/>
    </w:pPr>
    <w:rPr>
      <w:rFonts w:ascii="Arial" w:hAnsi="Arial" w:eastAsia="楷体_GB2312"/>
      <w:b/>
      <w:sz w:val="32"/>
    </w:rPr>
  </w:style>
  <w:style w:type="paragraph" w:styleId="3">
    <w:name w:val="annotation text"/>
    <w:basedOn w:val="1"/>
    <w:qFormat/>
    <w:uiPriority w:val="0"/>
    <w:pPr>
      <w:widowControl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5">
    <w:name w:val="Body Text Indent"/>
    <w:basedOn w:val="1"/>
    <w:next w:val="1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2023-12-14T01:55:00Z</dcterms:created>
  <dc:creator>peggyH </dc:creator>
  <cp:lastModifiedBy>peggyH </cp:lastModifiedBy>
  <cp:lastPrinted>2023-12-14T02:18:51Z</cp:lastPrinted>
  <dcterms:modified xsi:type="dcterms:W3CDTF">2023-12-14T02:21:12Z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FE6CCA64C10F45ADB6D2C5AA667A147D_11</vt:lpwstr>
  </property>
</Properties>
</file>