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eastAsia="方正小标宋简体"/>
          <w:color w:val="000000" w:themeColor="text1"/>
          <w:sz w:val="44"/>
          <w:szCs w:val="44"/>
          <w14:textFill>
            <w14:solidFill>
              <w14:schemeClr w14:val="tx1"/>
            </w14:solidFill>
          </w14:textFill>
        </w:rPr>
      </w:pPr>
    </w:p>
    <w:p>
      <w:pPr>
        <w:spacing w:line="560" w:lineRule="exact"/>
        <w:ind w:firstLine="880" w:firstLineChars="200"/>
        <w:jc w:val="center"/>
        <w:rPr>
          <w:rFonts w:eastAsia="方正小标宋简体"/>
          <w:color w:val="000000" w:themeColor="text1"/>
          <w:sz w:val="44"/>
          <w:szCs w:val="44"/>
          <w14:textFill>
            <w14:solidFill>
              <w14:schemeClr w14:val="tx1"/>
            </w14:solidFill>
          </w14:textFill>
        </w:rPr>
      </w:pPr>
    </w:p>
    <w:p>
      <w:pPr>
        <w:spacing w:line="560" w:lineRule="exact"/>
        <w:ind w:firstLine="880" w:firstLineChars="200"/>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202</w:t>
      </w:r>
      <w:r>
        <w:rPr>
          <w:rFonts w:hint="eastAsia" w:eastAsia="方正小标宋简体"/>
          <w:color w:val="000000" w:themeColor="text1"/>
          <w:sz w:val="44"/>
          <w:szCs w:val="44"/>
          <w:lang w:val="en-US" w:eastAsia="zh-CN"/>
          <w14:textFill>
            <w14:solidFill>
              <w14:schemeClr w14:val="tx1"/>
            </w14:solidFill>
          </w14:textFill>
        </w:rPr>
        <w:t>2</w:t>
      </w:r>
      <w:r>
        <w:rPr>
          <w:rFonts w:eastAsia="方正小标宋简体"/>
          <w:color w:val="000000" w:themeColor="text1"/>
          <w:sz w:val="44"/>
          <w:szCs w:val="44"/>
          <w14:textFill>
            <w14:solidFill>
              <w14:schemeClr w14:val="tx1"/>
            </w14:solidFill>
          </w14:textFill>
        </w:rPr>
        <w:t>年度株洲市芦淞区医疗保障局</w:t>
      </w:r>
    </w:p>
    <w:p>
      <w:pPr>
        <w:spacing w:line="560" w:lineRule="exact"/>
        <w:ind w:firstLine="880" w:firstLineChars="200"/>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整体支出绩效自评报告</w:t>
      </w:r>
    </w:p>
    <w:p>
      <w:pPr>
        <w:spacing w:line="560" w:lineRule="exact"/>
        <w:ind w:firstLine="640" w:firstLineChars="200"/>
        <w:jc w:val="center"/>
        <w:rPr>
          <w:rFonts w:eastAsia="黑体"/>
          <w:sz w:val="32"/>
          <w:szCs w:val="32"/>
        </w:rPr>
      </w:pPr>
    </w:p>
    <w:p>
      <w:pPr>
        <w:spacing w:line="560" w:lineRule="exact"/>
        <w:ind w:firstLine="640" w:firstLineChars="200"/>
        <w:jc w:val="center"/>
        <w:rPr>
          <w:rFonts w:eastAsia="黑体"/>
          <w:sz w:val="32"/>
          <w:szCs w:val="32"/>
        </w:rPr>
      </w:pPr>
    </w:p>
    <w:p>
      <w:pPr>
        <w:spacing w:line="560" w:lineRule="exact"/>
        <w:ind w:firstLine="640" w:firstLineChars="200"/>
        <w:jc w:val="center"/>
        <w:rPr>
          <w:rFonts w:eastAsia="黑体"/>
          <w:sz w:val="32"/>
          <w:szCs w:val="32"/>
        </w:rPr>
      </w:pPr>
    </w:p>
    <w:p>
      <w:pPr>
        <w:spacing w:line="560" w:lineRule="exact"/>
        <w:ind w:firstLine="640" w:firstLineChars="200"/>
        <w:jc w:val="center"/>
        <w:rPr>
          <w:rFonts w:eastAsia="黑体"/>
          <w:sz w:val="32"/>
          <w:szCs w:val="32"/>
        </w:rPr>
      </w:pPr>
    </w:p>
    <w:p>
      <w:pPr>
        <w:spacing w:line="560" w:lineRule="exact"/>
        <w:ind w:firstLine="640" w:firstLineChars="200"/>
        <w:jc w:val="center"/>
        <w:rPr>
          <w:rFonts w:eastAsia="黑体"/>
          <w:sz w:val="32"/>
          <w:szCs w:val="32"/>
        </w:rPr>
      </w:pPr>
    </w:p>
    <w:p>
      <w:pPr>
        <w:spacing w:line="560" w:lineRule="exact"/>
        <w:ind w:firstLine="640" w:firstLineChars="200"/>
        <w:jc w:val="center"/>
        <w:rPr>
          <w:rFonts w:eastAsia="黑体"/>
          <w:sz w:val="32"/>
          <w:szCs w:val="32"/>
        </w:rPr>
      </w:pPr>
    </w:p>
    <w:p>
      <w:pPr>
        <w:spacing w:line="560" w:lineRule="exact"/>
        <w:ind w:firstLine="640" w:firstLineChars="200"/>
        <w:jc w:val="center"/>
        <w:rPr>
          <w:rFonts w:eastAsia="黑体"/>
          <w:sz w:val="32"/>
          <w:szCs w:val="32"/>
        </w:rPr>
      </w:pPr>
    </w:p>
    <w:p>
      <w:pPr>
        <w:spacing w:line="560" w:lineRule="exact"/>
        <w:ind w:firstLine="640" w:firstLineChars="200"/>
        <w:jc w:val="center"/>
        <w:rPr>
          <w:rFonts w:eastAsia="黑体"/>
          <w:sz w:val="32"/>
          <w:szCs w:val="32"/>
        </w:rPr>
      </w:pPr>
    </w:p>
    <w:p>
      <w:pPr>
        <w:spacing w:line="560" w:lineRule="exact"/>
        <w:ind w:firstLine="640" w:firstLineChars="200"/>
        <w:jc w:val="center"/>
        <w:rPr>
          <w:rFonts w:eastAsia="黑体"/>
          <w:sz w:val="32"/>
          <w:szCs w:val="32"/>
        </w:rPr>
      </w:pPr>
    </w:p>
    <w:p>
      <w:pPr>
        <w:spacing w:line="560" w:lineRule="exact"/>
        <w:ind w:firstLine="640" w:firstLineChars="200"/>
        <w:jc w:val="center"/>
        <w:rPr>
          <w:rFonts w:eastAsia="黑体"/>
          <w:sz w:val="32"/>
          <w:szCs w:val="32"/>
        </w:rPr>
      </w:pPr>
    </w:p>
    <w:p>
      <w:pPr>
        <w:spacing w:line="560" w:lineRule="exact"/>
        <w:ind w:firstLine="640" w:firstLineChars="200"/>
        <w:jc w:val="center"/>
        <w:rPr>
          <w:rFonts w:eastAsia="黑体"/>
          <w:sz w:val="32"/>
          <w:szCs w:val="32"/>
        </w:rPr>
      </w:pPr>
    </w:p>
    <w:p>
      <w:pPr>
        <w:spacing w:line="560" w:lineRule="exact"/>
        <w:ind w:firstLine="880" w:firstLineChars="200"/>
        <w:jc w:val="center"/>
        <w:rPr>
          <w:rFonts w:eastAsia="黑体"/>
          <w:sz w:val="44"/>
          <w:szCs w:val="44"/>
        </w:rPr>
      </w:pPr>
    </w:p>
    <w:p>
      <w:pPr>
        <w:spacing w:line="560" w:lineRule="exact"/>
        <w:ind w:firstLine="880" w:firstLineChars="200"/>
        <w:jc w:val="center"/>
        <w:rPr>
          <w:rFonts w:eastAsia="黑体"/>
          <w:sz w:val="44"/>
          <w:szCs w:val="44"/>
        </w:rPr>
      </w:pPr>
    </w:p>
    <w:p>
      <w:pPr>
        <w:spacing w:line="560" w:lineRule="exact"/>
        <w:ind w:firstLine="880" w:firstLineChars="200"/>
        <w:jc w:val="center"/>
        <w:rPr>
          <w:rFonts w:eastAsia="黑体"/>
          <w:sz w:val="44"/>
          <w:szCs w:val="44"/>
        </w:rPr>
      </w:pPr>
    </w:p>
    <w:p>
      <w:pPr>
        <w:spacing w:line="560" w:lineRule="exact"/>
        <w:ind w:firstLine="720" w:firstLineChars="200"/>
        <w:rPr>
          <w:rFonts w:eastAsia="黑体"/>
          <w:sz w:val="36"/>
          <w:szCs w:val="36"/>
        </w:rPr>
      </w:pPr>
    </w:p>
    <w:p>
      <w:pPr>
        <w:spacing w:line="560" w:lineRule="exact"/>
        <w:ind w:firstLine="640" w:firstLineChars="200"/>
        <w:rPr>
          <w:rFonts w:eastAsia="黑体"/>
          <w:sz w:val="32"/>
          <w:szCs w:val="32"/>
        </w:rPr>
      </w:pPr>
    </w:p>
    <w:p>
      <w:pPr>
        <w:spacing w:line="560" w:lineRule="exact"/>
        <w:ind w:firstLine="640" w:firstLineChars="200"/>
        <w:rPr>
          <w:rFonts w:eastAsia="黑体"/>
          <w:sz w:val="32"/>
          <w:szCs w:val="32"/>
        </w:rPr>
      </w:pPr>
    </w:p>
    <w:p>
      <w:pPr>
        <w:spacing w:line="560" w:lineRule="exact"/>
        <w:ind w:firstLine="640" w:firstLineChars="200"/>
        <w:rPr>
          <w:rFonts w:eastAsia="黑体"/>
          <w:sz w:val="32"/>
          <w:szCs w:val="32"/>
        </w:rPr>
      </w:pPr>
    </w:p>
    <w:p>
      <w:pPr>
        <w:spacing w:line="560" w:lineRule="exact"/>
        <w:rPr>
          <w:rFonts w:eastAsia="黑体"/>
          <w:sz w:val="32"/>
          <w:szCs w:val="32"/>
        </w:rPr>
      </w:pPr>
    </w:p>
    <w:p>
      <w:pPr>
        <w:spacing w:line="560" w:lineRule="exact"/>
        <w:ind w:firstLine="320" w:firstLineChars="100"/>
        <w:rPr>
          <w:rFonts w:eastAsia="黑体"/>
          <w:sz w:val="32"/>
          <w:szCs w:val="32"/>
        </w:rPr>
      </w:pPr>
    </w:p>
    <w:p>
      <w:pPr>
        <w:spacing w:line="560" w:lineRule="exact"/>
        <w:ind w:firstLine="320" w:firstLineChars="100"/>
        <w:rPr>
          <w:rFonts w:eastAsia="黑体"/>
          <w:sz w:val="32"/>
          <w:szCs w:val="32"/>
        </w:rPr>
      </w:pPr>
      <w:r>
        <w:rPr>
          <w:rFonts w:eastAsia="黑体"/>
          <w:sz w:val="32"/>
          <w:szCs w:val="32"/>
        </w:rPr>
        <w:t>一、基本情况</w:t>
      </w:r>
    </w:p>
    <w:p>
      <w:pPr>
        <w:spacing w:line="560" w:lineRule="exact"/>
        <w:ind w:firstLine="643" w:firstLineChars="200"/>
        <w:rPr>
          <w:rFonts w:eastAsia="楷体_GB2312"/>
          <w:b/>
          <w:sz w:val="32"/>
          <w:szCs w:val="32"/>
        </w:rPr>
      </w:pPr>
      <w:r>
        <w:rPr>
          <w:rFonts w:eastAsia="楷体_GB2312"/>
          <w:b/>
          <w:sz w:val="32"/>
          <w:szCs w:val="32"/>
        </w:rPr>
        <w:t>（一）部门基本情况</w:t>
      </w:r>
    </w:p>
    <w:p>
      <w:pPr>
        <w:snapToGrid w:val="0"/>
        <w:spacing w:line="560" w:lineRule="exact"/>
        <w:ind w:firstLine="640" w:firstLineChars="200"/>
        <w:rPr>
          <w:rFonts w:hint="eastAsia" w:ascii="仿宋_GB2312" w:hAnsi="宋体" w:eastAsia="仿宋_GB2312" w:cs="黑体"/>
          <w:color w:val="000000"/>
          <w:kern w:val="2"/>
          <w:sz w:val="32"/>
          <w:szCs w:val="32"/>
          <w:lang w:val="en-US" w:eastAsia="zh-CN" w:bidi="ar-SA"/>
        </w:rPr>
      </w:pPr>
      <w:r>
        <w:rPr>
          <w:rFonts w:hint="eastAsia" w:ascii="仿宋_GB2312" w:hAnsi="宋体" w:eastAsia="仿宋_GB2312" w:cs="黑体"/>
          <w:color w:val="000000"/>
          <w:kern w:val="2"/>
          <w:sz w:val="32"/>
          <w:szCs w:val="32"/>
          <w:lang w:val="en-US" w:eastAsia="zh-CN" w:bidi="ar-SA"/>
        </w:rPr>
        <w:t>1．机构情况，株洲市芦淞区医疗保障局内设区医疗保障事务中心，为股级全额拨款公益一类事业单位。</w:t>
      </w:r>
    </w:p>
    <w:p>
      <w:pPr>
        <w:snapToGrid w:val="0"/>
        <w:spacing w:line="560" w:lineRule="exact"/>
        <w:ind w:firstLine="640" w:firstLineChars="200"/>
        <w:rPr>
          <w:rFonts w:hint="eastAsia" w:ascii="仿宋_GB2312" w:hAnsi="宋体" w:eastAsia="仿宋_GB2312" w:cs="黑体"/>
          <w:color w:val="000000"/>
          <w:kern w:val="2"/>
          <w:sz w:val="32"/>
          <w:szCs w:val="32"/>
          <w:lang w:val="en-US" w:eastAsia="zh-CN" w:bidi="ar-SA"/>
        </w:rPr>
      </w:pPr>
      <w:r>
        <w:rPr>
          <w:rFonts w:hint="eastAsia" w:ascii="仿宋_GB2312" w:hAnsi="宋体" w:eastAsia="仿宋_GB2312" w:cs="黑体"/>
          <w:color w:val="000000"/>
          <w:kern w:val="2"/>
          <w:sz w:val="32"/>
          <w:szCs w:val="32"/>
          <w:lang w:val="en-US" w:eastAsia="zh-CN" w:bidi="ar-SA"/>
        </w:rPr>
        <w:t>2．人员情况，株洲市芦淞区医疗保障局行政编制3名，设局长1名，副局长1名；内设区医疗保障事务中心全额拨款事业编制5名。</w:t>
      </w:r>
    </w:p>
    <w:p>
      <w:pPr>
        <w:spacing w:line="560" w:lineRule="exact"/>
        <w:ind w:firstLine="643" w:firstLineChars="200"/>
        <w:rPr>
          <w:rFonts w:eastAsia="楷体_GB2312"/>
          <w:b/>
          <w:sz w:val="32"/>
          <w:szCs w:val="32"/>
        </w:rPr>
      </w:pPr>
      <w:r>
        <w:rPr>
          <w:rFonts w:eastAsia="楷体_GB2312"/>
          <w:b/>
          <w:sz w:val="32"/>
          <w:szCs w:val="32"/>
        </w:rPr>
        <w:t>（二）部门（单位）年度整体支出绩效目标，部门专项资金绩效目标、其他项目支出（除省级专项资金以外）绩效目标</w:t>
      </w:r>
    </w:p>
    <w:p>
      <w:pPr>
        <w:spacing w:line="560" w:lineRule="exact"/>
        <w:ind w:firstLine="640" w:firstLineChars="200"/>
        <w:rPr>
          <w:rFonts w:eastAsia="仿宋_GB2312"/>
          <w:sz w:val="32"/>
          <w:szCs w:val="32"/>
        </w:rPr>
      </w:pPr>
      <w:r>
        <w:rPr>
          <w:rFonts w:eastAsia="仿宋_GB2312"/>
          <w:sz w:val="32"/>
          <w:szCs w:val="32"/>
        </w:rPr>
        <w:t>完善统一的城乡居民基本医疗保险制度和大病保险制度，巩固完善城乡居民医疗救助制度，建立健全覆盖全民、城乡统筹的多层次医疗保障体系，不断提高医疗保障水平，确保医保资金合理使用、安全可控，推进医疗、医保、医药“三医联动”改革，更好保障人民群众就医需求、减轻医药费用负担。</w:t>
      </w:r>
    </w:p>
    <w:p>
      <w:pPr>
        <w:pStyle w:val="7"/>
        <w:spacing w:line="5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7"/>
        <w:spacing w:line="56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7"/>
        <w:spacing w:line="560" w:lineRule="exact"/>
        <w:ind w:firstLine="640"/>
        <w:rPr>
          <w:rFonts w:hint="eastAsia" w:ascii="仿宋_GB2312" w:hAnsi="宋体" w:eastAsia="仿宋_GB2312" w:cs="黑体"/>
          <w:color w:val="000000"/>
          <w:sz w:val="32"/>
          <w:szCs w:val="32"/>
          <w:lang w:val="en-US" w:eastAsia="zh-CN" w:bidi="ar-SA"/>
        </w:rPr>
      </w:pPr>
      <w:r>
        <w:rPr>
          <w:rFonts w:hint="eastAsia" w:ascii="仿宋_GB2312" w:hAnsi="宋体" w:eastAsia="仿宋_GB2312" w:cs="黑体"/>
          <w:color w:val="000000"/>
          <w:sz w:val="32"/>
          <w:szCs w:val="32"/>
          <w:lang w:val="en-US" w:eastAsia="zh-CN" w:bidi="ar-SA"/>
        </w:rPr>
        <w:t>1、2022年预算一般公共预算拨款资金753.82万元。</w:t>
      </w:r>
    </w:p>
    <w:p>
      <w:pPr>
        <w:pStyle w:val="7"/>
        <w:spacing w:line="560" w:lineRule="exact"/>
        <w:ind w:firstLine="640"/>
        <w:rPr>
          <w:rFonts w:hint="eastAsia" w:ascii="仿宋_GB2312" w:hAnsi="宋体" w:eastAsia="仿宋_GB2312" w:cs="黑体"/>
          <w:color w:val="000000"/>
          <w:sz w:val="32"/>
          <w:szCs w:val="32"/>
          <w:lang w:val="en-US" w:eastAsia="zh-CN" w:bidi="ar-SA"/>
        </w:rPr>
      </w:pPr>
      <w:r>
        <w:rPr>
          <w:rFonts w:hint="eastAsia" w:ascii="仿宋_GB2312" w:hAnsi="宋体" w:eastAsia="仿宋_GB2312" w:cs="黑体"/>
          <w:color w:val="000000"/>
          <w:sz w:val="32"/>
          <w:szCs w:val="32"/>
          <w:lang w:val="en-US" w:eastAsia="zh-CN" w:bidi="ar-SA"/>
        </w:rPr>
        <w:t>2、2022年度单位一般公共预算财政拨款收入</w:t>
      </w:r>
      <w:r>
        <w:rPr>
          <w:rFonts w:hint="eastAsia" w:ascii="仿宋_GB2312" w:hAnsi="宋体" w:eastAsia="仿宋_GB2312"/>
          <w:sz w:val="32"/>
          <w:szCs w:val="32"/>
        </w:rPr>
        <w:t>365.12</w:t>
      </w:r>
      <w:r>
        <w:rPr>
          <w:rFonts w:hint="eastAsia" w:ascii="仿宋_GB2312" w:hAnsi="宋体" w:eastAsia="仿宋_GB2312" w:cs="黑体"/>
          <w:color w:val="000000"/>
          <w:sz w:val="32"/>
          <w:szCs w:val="32"/>
          <w:lang w:val="en-US" w:eastAsia="zh-CN" w:bidi="ar-SA"/>
        </w:rPr>
        <w:t>万元。</w:t>
      </w:r>
    </w:p>
    <w:p>
      <w:pPr>
        <w:spacing w:line="560" w:lineRule="exact"/>
        <w:ind w:firstLine="640" w:firstLineChars="200"/>
        <w:rPr>
          <w:rFonts w:hint="eastAsia" w:ascii="仿宋_GB2312" w:hAnsi="宋体" w:eastAsia="仿宋_GB2312" w:cs="黑体"/>
          <w:color w:val="000000"/>
          <w:sz w:val="32"/>
          <w:szCs w:val="32"/>
          <w:lang w:val="en-US" w:eastAsia="zh-CN" w:bidi="ar-SA"/>
        </w:rPr>
      </w:pPr>
      <w:r>
        <w:rPr>
          <w:rFonts w:hint="eastAsia" w:ascii="仿宋_GB2312" w:hAnsi="宋体" w:eastAsia="仿宋_GB2312" w:cs="黑体"/>
          <w:color w:val="000000"/>
          <w:sz w:val="32"/>
          <w:szCs w:val="32"/>
          <w:lang w:val="en-US" w:eastAsia="zh-CN" w:bidi="ar-SA"/>
        </w:rPr>
        <w:t>3、2022年度单位一般公共预算财政拨款支出</w:t>
      </w:r>
      <w:r>
        <w:rPr>
          <w:rFonts w:hint="eastAsia" w:ascii="仿宋_GB2312" w:hAnsi="宋体" w:eastAsia="仿宋_GB2312"/>
          <w:sz w:val="32"/>
          <w:szCs w:val="32"/>
        </w:rPr>
        <w:t>365.12</w:t>
      </w:r>
      <w:r>
        <w:rPr>
          <w:rFonts w:hint="eastAsia" w:ascii="仿宋_GB2312" w:hAnsi="宋体" w:eastAsia="仿宋_GB2312" w:cs="黑体"/>
          <w:color w:val="000000"/>
          <w:sz w:val="32"/>
          <w:szCs w:val="32"/>
          <w:lang w:val="en-US" w:eastAsia="zh-CN" w:bidi="ar-SA"/>
        </w:rPr>
        <w:t>万元</w:t>
      </w:r>
      <w:r>
        <w:rPr>
          <w:rFonts w:eastAsia="仿宋"/>
          <w:sz w:val="32"/>
          <w:szCs w:val="32"/>
        </w:rPr>
        <w:t>，其中：</w:t>
      </w:r>
      <w:r>
        <w:rPr>
          <w:rFonts w:hint="eastAsia" w:eastAsia="仿宋"/>
          <w:sz w:val="32"/>
          <w:szCs w:val="32"/>
        </w:rPr>
        <w:t>项目支出</w:t>
      </w:r>
      <w:r>
        <w:rPr>
          <w:rFonts w:hint="eastAsia" w:ascii="仿宋_GB2312" w:hAnsi="宋体" w:eastAsia="仿宋_GB2312" w:cs="黑体"/>
          <w:color w:val="000000"/>
          <w:sz w:val="32"/>
          <w:szCs w:val="32"/>
          <w:lang w:val="en-US" w:eastAsia="zh-CN" w:bidi="ar-SA"/>
        </w:rPr>
        <w:t>248.55万元，</w:t>
      </w:r>
      <w:r>
        <w:rPr>
          <w:rFonts w:hint="eastAsia" w:ascii="仿宋_GB2312" w:hAnsi="宋体" w:eastAsia="仿宋_GB2312" w:cs="黑体"/>
          <w:color w:val="000000"/>
          <w:sz w:val="32"/>
          <w:szCs w:val="32"/>
          <w:highlight w:val="none"/>
          <w:lang w:val="en-US" w:eastAsia="zh-CN" w:bidi="ar-SA"/>
        </w:rPr>
        <w:t>基本支出116.57万元，</w:t>
      </w:r>
      <w:r>
        <w:rPr>
          <w:rFonts w:hint="eastAsia" w:ascii="仿宋_GB2312" w:hAnsi="宋体" w:eastAsia="仿宋_GB2312" w:cs="黑体"/>
          <w:color w:val="000000"/>
          <w:sz w:val="32"/>
          <w:szCs w:val="32"/>
          <w:lang w:val="en-US" w:eastAsia="zh-CN" w:bidi="ar-SA"/>
        </w:rPr>
        <w:t>其中：人员经费99.82万元，公用经费16.75万元。</w:t>
      </w:r>
    </w:p>
    <w:p>
      <w:pPr>
        <w:pStyle w:val="7"/>
        <w:numPr>
          <w:ilvl w:val="0"/>
          <w:numId w:val="1"/>
        </w:numPr>
        <w:spacing w:line="56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7"/>
        <w:spacing w:line="560" w:lineRule="exact"/>
        <w:ind w:firstLine="640"/>
        <w:rPr>
          <w:rFonts w:hint="eastAsia" w:ascii="仿宋_GB2312" w:hAnsi="宋体" w:eastAsia="仿宋_GB2312" w:cs="黑体"/>
          <w:color w:val="000000"/>
          <w:sz w:val="32"/>
          <w:szCs w:val="32"/>
          <w:lang w:val="en-US" w:eastAsia="zh-CN" w:bidi="ar-SA"/>
        </w:rPr>
      </w:pPr>
      <w:r>
        <w:rPr>
          <w:rFonts w:hint="eastAsia" w:ascii="仿宋_GB2312" w:hAnsi="宋体" w:eastAsia="仿宋_GB2312" w:cs="黑体"/>
          <w:color w:val="000000"/>
          <w:sz w:val="32"/>
          <w:szCs w:val="32"/>
          <w:lang w:val="en-US" w:eastAsia="zh-CN" w:bidi="ar-SA"/>
        </w:rPr>
        <w:t>2022年度项目支出合计248.55万元，其中：财</w:t>
      </w:r>
      <w:r>
        <w:rPr>
          <w:rFonts w:hint="eastAsia" w:ascii="仿宋_GB2312" w:hAnsi="仿宋" w:eastAsia="仿宋_GB2312"/>
          <w:sz w:val="32"/>
          <w:szCs w:val="32"/>
          <w:highlight w:val="none"/>
        </w:rPr>
        <w:t>城乡居民医保4.18万元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离休干部医药费40.44万元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医疗救助中央和省级财政补助资金155.93万元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中央补助医疗服务与保障能力提升项目经费48万元</w:t>
      </w:r>
      <w:r>
        <w:rPr>
          <w:rFonts w:hint="eastAsia" w:ascii="仿宋_GB2312" w:hAnsi="仿宋" w:eastAsia="仿宋_GB2312"/>
          <w:sz w:val="32"/>
          <w:szCs w:val="32"/>
          <w:highlight w:val="none"/>
          <w:lang w:eastAsia="zh-CN"/>
        </w:rPr>
        <w:t>。</w:t>
      </w:r>
    </w:p>
    <w:p>
      <w:pPr>
        <w:pStyle w:val="7"/>
        <w:spacing w:line="56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1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无。</w:t>
      </w:r>
    </w:p>
    <w:p>
      <w:pPr>
        <w:pStyle w:val="7"/>
        <w:spacing w:line="56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pPr>
        <w:pStyle w:val="1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无。</w:t>
      </w:r>
    </w:p>
    <w:p>
      <w:pPr>
        <w:pStyle w:val="7"/>
        <w:spacing w:line="56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1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无。</w:t>
      </w:r>
    </w:p>
    <w:p>
      <w:pPr>
        <w:spacing w:line="560" w:lineRule="exact"/>
        <w:ind w:firstLine="640" w:firstLineChars="200"/>
        <w:rPr>
          <w:rFonts w:eastAsia="黑体"/>
          <w:sz w:val="32"/>
          <w:szCs w:val="32"/>
        </w:rPr>
      </w:pPr>
      <w:r>
        <w:rPr>
          <w:rFonts w:eastAsia="黑体"/>
          <w:sz w:val="32"/>
          <w:szCs w:val="32"/>
        </w:rPr>
        <w:t>六、资金使用及绩效情况</w:t>
      </w:r>
    </w:p>
    <w:p>
      <w:pPr>
        <w:spacing w:line="560" w:lineRule="exact"/>
        <w:ind w:firstLine="643" w:firstLineChars="200"/>
        <w:rPr>
          <w:rFonts w:eastAsia="楷体_GB2312"/>
          <w:b/>
          <w:sz w:val="32"/>
          <w:szCs w:val="32"/>
        </w:rPr>
      </w:pPr>
      <w:r>
        <w:rPr>
          <w:rFonts w:eastAsia="楷体_GB2312"/>
          <w:b/>
          <w:sz w:val="32"/>
          <w:szCs w:val="32"/>
        </w:rPr>
        <w:t>(一）部门整体支出绩效情况</w:t>
      </w:r>
    </w:p>
    <w:p>
      <w:pPr>
        <w:spacing w:line="560" w:lineRule="exact"/>
        <w:ind w:firstLine="640" w:firstLineChars="200"/>
        <w:rPr>
          <w:rFonts w:hint="eastAsia" w:ascii="仿宋_GB2312" w:hAnsi="宋体" w:eastAsia="仿宋_GB2312" w:cs="黑体"/>
          <w:color w:val="000000"/>
          <w:kern w:val="0"/>
          <w:sz w:val="32"/>
          <w:szCs w:val="32"/>
          <w:lang w:val="zh-TW" w:eastAsia="zh-CN" w:bidi="ar-SA"/>
        </w:rPr>
      </w:pPr>
      <w:r>
        <w:rPr>
          <w:rFonts w:hint="eastAsia" w:ascii="仿宋_GB2312" w:hAnsi="宋体" w:eastAsia="仿宋_GB2312" w:cs="黑体"/>
          <w:color w:val="000000"/>
          <w:kern w:val="0"/>
          <w:sz w:val="32"/>
          <w:szCs w:val="32"/>
          <w:lang w:val="en-US" w:eastAsia="zh-CN" w:bidi="ar-SA"/>
        </w:rPr>
        <w:t>1.坚定落实新冠疫情政策</w:t>
      </w:r>
      <w:r>
        <w:rPr>
          <w:rFonts w:hint="eastAsia" w:ascii="仿宋_GB2312" w:hAnsi="宋体" w:eastAsia="仿宋_GB2312" w:cs="黑体"/>
          <w:color w:val="000000"/>
          <w:kern w:val="0"/>
          <w:sz w:val="32"/>
          <w:szCs w:val="32"/>
          <w:lang w:val="zh-TW" w:eastAsia="zh-CN" w:bidi="ar-SA"/>
        </w:rPr>
        <w:t>。一是落实疫情防控政治责任。落实新冠肺炎救治保障、费用结算、药品供应保障等，从医保基金中落实疫苗采购费用累计</w:t>
      </w:r>
      <w:r>
        <w:rPr>
          <w:rFonts w:hint="eastAsia" w:ascii="仿宋_GB2312" w:hAnsi="宋体" w:eastAsia="仿宋_GB2312" w:cs="黑体"/>
          <w:color w:val="000000"/>
          <w:kern w:val="0"/>
          <w:sz w:val="32"/>
          <w:szCs w:val="32"/>
          <w:lang w:val="en-US" w:eastAsia="zh-CN" w:bidi="ar-SA"/>
        </w:rPr>
        <w:t>818.16</w:t>
      </w:r>
      <w:r>
        <w:rPr>
          <w:rFonts w:hint="eastAsia" w:ascii="仿宋_GB2312" w:hAnsi="宋体" w:eastAsia="仿宋_GB2312" w:cs="黑体"/>
          <w:color w:val="000000"/>
          <w:kern w:val="0"/>
          <w:sz w:val="32"/>
          <w:szCs w:val="32"/>
          <w:lang w:val="zh-TW" w:eastAsia="zh-CN" w:bidi="ar-SA"/>
        </w:rPr>
        <w:t>万元，</w:t>
      </w:r>
      <w:r>
        <w:rPr>
          <w:rFonts w:hint="eastAsia" w:ascii="仿宋_GB2312" w:hAnsi="宋体" w:eastAsia="仿宋_GB2312" w:cs="黑体"/>
          <w:color w:val="000000"/>
          <w:kern w:val="0"/>
          <w:sz w:val="32"/>
          <w:szCs w:val="32"/>
          <w:lang w:val="en-US" w:eastAsia="zh-CN" w:bidi="ar-SA"/>
        </w:rPr>
        <w:t>疫苗款上解288.63万元，</w:t>
      </w:r>
      <w:r>
        <w:rPr>
          <w:rFonts w:hint="eastAsia" w:ascii="仿宋_GB2312" w:hAnsi="宋体" w:eastAsia="仿宋_GB2312" w:cs="黑体"/>
          <w:color w:val="000000"/>
          <w:kern w:val="0"/>
          <w:sz w:val="32"/>
          <w:szCs w:val="32"/>
          <w:lang w:val="zh-TW" w:eastAsia="zh-CN" w:bidi="ar-SA"/>
        </w:rPr>
        <w:t>按月进行拨付，确保救治保障和疫情防控工作有序开展。二是落实医保部门职能责任。在疫情期间，推行“网上办”“掌上办”“电话办”等，减少人员流动实现“不见面办”。督导区内“双通道”药店严格落实国家规定的长处方制，减少就诊频次实现“便民办”。做好医保经办大厅清洁消毒等，现场医保业务实现“放心办”。三是落实疫情防控包保责任。全局干部职工下沉社区抗疫一线，深入长塘湾社区、来园社区参与疫情防控，与社区工作人员共同落实小区进出管理、重点人员管控、全员核酸检测等工作。</w:t>
      </w:r>
    </w:p>
    <w:p>
      <w:pPr>
        <w:spacing w:line="560" w:lineRule="exact"/>
        <w:ind w:firstLine="640" w:firstLineChars="200"/>
        <w:rPr>
          <w:rFonts w:hint="eastAsia" w:ascii="仿宋_GB2312" w:hAnsi="宋体" w:eastAsia="仿宋_GB2312" w:cs="黑体"/>
          <w:color w:val="000000"/>
          <w:kern w:val="0"/>
          <w:sz w:val="32"/>
          <w:szCs w:val="32"/>
          <w:lang w:val="zh-TW" w:eastAsia="zh-CN" w:bidi="ar-SA"/>
        </w:rPr>
      </w:pPr>
      <w:r>
        <w:rPr>
          <w:rFonts w:hint="eastAsia" w:ascii="仿宋_GB2312" w:hAnsi="宋体" w:eastAsia="仿宋_GB2312" w:cs="黑体"/>
          <w:color w:val="000000"/>
          <w:kern w:val="0"/>
          <w:sz w:val="32"/>
          <w:szCs w:val="32"/>
          <w:lang w:val="en-US" w:eastAsia="zh-CN" w:bidi="ar-SA"/>
        </w:rPr>
        <w:t>2、</w:t>
      </w:r>
      <w:r>
        <w:rPr>
          <w:rFonts w:hint="eastAsia" w:ascii="仿宋_GB2312" w:hAnsi="宋体" w:eastAsia="仿宋_GB2312" w:cs="黑体"/>
          <w:color w:val="000000"/>
          <w:kern w:val="0"/>
          <w:sz w:val="32"/>
          <w:szCs w:val="32"/>
          <w:lang w:val="zh-TW" w:eastAsia="zh-CN" w:bidi="ar-SA"/>
        </w:rPr>
        <w:t>基本医疗保险参保扩面。积极落实全民参保要求，不断扩大医保制度覆盖面，持续加强医保基金征缴力度，努力做到应保尽保、应收尽收。</w:t>
      </w:r>
      <w:r>
        <w:rPr>
          <w:rFonts w:hint="eastAsia" w:ascii="仿宋_GB2312" w:hAnsi="宋体" w:eastAsia="仿宋_GB2312" w:cs="黑体"/>
          <w:color w:val="000000"/>
          <w:kern w:val="0"/>
          <w:sz w:val="32"/>
          <w:szCs w:val="32"/>
          <w:lang w:val="en-US" w:eastAsia="zh-CN" w:bidi="ar-SA"/>
        </w:rPr>
        <w:t>2022年我区城乡居民基本医疗保险参保16.89万人，参保率达95.98%。特困、低保、1-2级残疾等困难群众100%参保。9月26日，芦淞区召开2023年度城乡居民医保参保缴费工作部署会和医保信息化标准化建设暨医保电子凭证推广应用工作推进会，“两会合一”旨在将参保缴费工作和医保信息化标准化建设工作同开展、同部署，做好结合文章，持续建立覆盖全民、城乡统筹、权责清晰、保障适度、可持续发展的多层次医疗保障体。</w:t>
      </w:r>
    </w:p>
    <w:p>
      <w:pPr>
        <w:spacing w:line="560" w:lineRule="exact"/>
        <w:ind w:firstLine="640" w:firstLineChars="200"/>
        <w:rPr>
          <w:rFonts w:hint="eastAsia" w:ascii="仿宋_GB2312" w:hAnsi="宋体" w:eastAsia="仿宋_GB2312" w:cs="黑体"/>
          <w:color w:val="000000"/>
          <w:kern w:val="0"/>
          <w:sz w:val="32"/>
          <w:szCs w:val="32"/>
          <w:lang w:val="en-US" w:eastAsia="zh-CN" w:bidi="ar-SA"/>
        </w:rPr>
      </w:pPr>
      <w:r>
        <w:rPr>
          <w:rFonts w:hint="eastAsia" w:ascii="仿宋_GB2312" w:hAnsi="宋体" w:eastAsia="仿宋_GB2312" w:cs="黑体"/>
          <w:color w:val="000000"/>
          <w:kern w:val="0"/>
          <w:sz w:val="32"/>
          <w:szCs w:val="32"/>
          <w:lang w:val="en-US" w:eastAsia="zh-CN" w:bidi="ar-SA"/>
        </w:rPr>
        <w:t>3、</w:t>
      </w:r>
      <w:r>
        <w:rPr>
          <w:rFonts w:hint="eastAsia" w:ascii="仿宋_GB2312" w:hAnsi="宋体" w:eastAsia="仿宋_GB2312" w:cs="黑体"/>
          <w:color w:val="000000"/>
          <w:kern w:val="0"/>
          <w:sz w:val="32"/>
          <w:szCs w:val="32"/>
          <w:lang w:val="zh-TW" w:eastAsia="zh-CN" w:bidi="ar-SA"/>
        </w:rPr>
        <w:t>做实“民生100”工程。城乡居民高血压、糖尿病“两病”门诊用药保障和</w:t>
      </w:r>
      <w:r>
        <w:rPr>
          <w:rFonts w:hint="eastAsia" w:ascii="仿宋_GB2312" w:hAnsi="宋体" w:eastAsia="仿宋_GB2312" w:cs="黑体"/>
          <w:color w:val="000000"/>
          <w:kern w:val="0"/>
          <w:sz w:val="32"/>
          <w:szCs w:val="32"/>
          <w:lang w:val="en-US" w:eastAsia="zh-CN" w:bidi="ar-SA"/>
        </w:rPr>
        <w:t>辖区定点医疗机构普通门诊跨省结算</w:t>
      </w:r>
      <w:r>
        <w:rPr>
          <w:rFonts w:hint="eastAsia" w:ascii="仿宋_GB2312" w:hAnsi="宋体" w:eastAsia="仿宋_GB2312" w:cs="黑体"/>
          <w:color w:val="000000"/>
          <w:kern w:val="0"/>
          <w:sz w:val="32"/>
          <w:szCs w:val="32"/>
          <w:lang w:val="zh-TW" w:eastAsia="zh-CN" w:bidi="ar-SA"/>
        </w:rPr>
        <w:t>等两项工作纳入</w:t>
      </w:r>
      <w:r>
        <w:rPr>
          <w:rFonts w:hint="eastAsia" w:ascii="仿宋_GB2312" w:hAnsi="宋体" w:eastAsia="仿宋_GB2312" w:cs="黑体"/>
          <w:color w:val="000000"/>
          <w:kern w:val="0"/>
          <w:sz w:val="32"/>
          <w:szCs w:val="32"/>
          <w:lang w:val="en-US" w:eastAsia="zh-CN" w:bidi="ar-SA"/>
        </w:rPr>
        <w:t>2022年</w:t>
      </w:r>
      <w:r>
        <w:rPr>
          <w:rFonts w:hint="eastAsia" w:ascii="仿宋_GB2312" w:hAnsi="宋体" w:eastAsia="仿宋_GB2312" w:cs="黑体"/>
          <w:color w:val="000000"/>
          <w:kern w:val="0"/>
          <w:sz w:val="32"/>
          <w:szCs w:val="32"/>
          <w:lang w:val="zh-TW" w:eastAsia="zh-CN" w:bidi="ar-SA"/>
        </w:rPr>
        <w:t>的“民生100”工程。202</w:t>
      </w:r>
      <w:r>
        <w:rPr>
          <w:rFonts w:hint="eastAsia" w:ascii="仿宋_GB2312" w:hAnsi="宋体" w:eastAsia="仿宋_GB2312" w:cs="黑体"/>
          <w:color w:val="000000"/>
          <w:kern w:val="0"/>
          <w:sz w:val="32"/>
          <w:szCs w:val="32"/>
          <w:lang w:val="en-US" w:eastAsia="zh-CN" w:bidi="ar-SA"/>
        </w:rPr>
        <w:t>2</w:t>
      </w:r>
      <w:r>
        <w:rPr>
          <w:rFonts w:hint="eastAsia" w:ascii="仿宋_GB2312" w:hAnsi="宋体" w:eastAsia="仿宋_GB2312" w:cs="黑体"/>
          <w:color w:val="000000"/>
          <w:kern w:val="0"/>
          <w:sz w:val="32"/>
          <w:szCs w:val="32"/>
          <w:lang w:val="zh-TW" w:eastAsia="zh-CN" w:bidi="ar-SA"/>
        </w:rPr>
        <w:t>年</w:t>
      </w:r>
      <w:r>
        <w:rPr>
          <w:rFonts w:hint="eastAsia" w:ascii="仿宋_GB2312" w:hAnsi="宋体" w:eastAsia="仿宋_GB2312" w:cs="黑体"/>
          <w:color w:val="000000"/>
          <w:kern w:val="0"/>
          <w:sz w:val="32"/>
          <w:szCs w:val="32"/>
          <w:lang w:val="en-US" w:eastAsia="zh-CN" w:bidi="ar-SA"/>
        </w:rPr>
        <w:t>1-12月</w:t>
      </w:r>
      <w:r>
        <w:rPr>
          <w:rFonts w:hint="eastAsia" w:ascii="仿宋_GB2312" w:hAnsi="宋体" w:eastAsia="仿宋_GB2312" w:cs="黑体"/>
          <w:color w:val="000000"/>
          <w:kern w:val="0"/>
          <w:sz w:val="32"/>
          <w:szCs w:val="32"/>
          <w:lang w:val="zh-TW" w:eastAsia="zh-CN" w:bidi="ar-SA"/>
        </w:rPr>
        <w:t>“两病”保障</w:t>
      </w:r>
      <w:r>
        <w:rPr>
          <w:rFonts w:hint="eastAsia" w:ascii="仿宋_GB2312" w:hAnsi="宋体" w:eastAsia="仿宋_GB2312" w:cs="黑体"/>
          <w:color w:val="000000"/>
          <w:kern w:val="0"/>
          <w:sz w:val="32"/>
          <w:szCs w:val="32"/>
          <w:lang w:val="en-US" w:eastAsia="zh-CN" w:bidi="ar-SA"/>
        </w:rPr>
        <w:t>35163</w:t>
      </w:r>
      <w:r>
        <w:rPr>
          <w:rFonts w:hint="eastAsia" w:ascii="仿宋_GB2312" w:hAnsi="宋体" w:eastAsia="仿宋_GB2312" w:cs="黑体"/>
          <w:color w:val="000000"/>
          <w:kern w:val="0"/>
          <w:sz w:val="32"/>
          <w:szCs w:val="32"/>
          <w:lang w:val="zh-TW" w:eastAsia="zh-CN" w:bidi="ar-SA"/>
        </w:rPr>
        <w:t>人次，完成目标任务的</w:t>
      </w:r>
      <w:r>
        <w:rPr>
          <w:rFonts w:hint="eastAsia" w:ascii="仿宋_GB2312" w:hAnsi="宋体" w:eastAsia="仿宋_GB2312" w:cs="黑体"/>
          <w:color w:val="000000"/>
          <w:kern w:val="0"/>
          <w:sz w:val="32"/>
          <w:szCs w:val="32"/>
          <w:lang w:val="en-US" w:eastAsia="zh-CN" w:bidi="ar-SA"/>
        </w:rPr>
        <w:t>351.63</w:t>
      </w:r>
      <w:r>
        <w:rPr>
          <w:rFonts w:hint="eastAsia" w:ascii="仿宋_GB2312" w:hAnsi="宋体" w:eastAsia="仿宋_GB2312" w:cs="黑体"/>
          <w:color w:val="000000"/>
          <w:kern w:val="0"/>
          <w:sz w:val="32"/>
          <w:szCs w:val="32"/>
          <w:lang w:val="zh-TW" w:eastAsia="zh-CN" w:bidi="ar-SA"/>
        </w:rPr>
        <w:t>%；</w:t>
      </w:r>
      <w:r>
        <w:rPr>
          <w:rFonts w:hint="eastAsia" w:ascii="仿宋_GB2312" w:hAnsi="宋体" w:eastAsia="仿宋_GB2312" w:cs="黑体"/>
          <w:color w:val="000000"/>
          <w:kern w:val="0"/>
          <w:sz w:val="32"/>
          <w:szCs w:val="32"/>
          <w:lang w:val="en-US" w:eastAsia="zh-CN" w:bidi="ar-SA"/>
        </w:rPr>
        <w:t>辖区定点医疗机构普通门诊跨省结算22家</w:t>
      </w:r>
      <w:r>
        <w:rPr>
          <w:rFonts w:hint="eastAsia" w:ascii="仿宋_GB2312" w:hAnsi="宋体" w:eastAsia="仿宋_GB2312" w:cs="黑体"/>
          <w:color w:val="000000"/>
          <w:kern w:val="0"/>
          <w:sz w:val="32"/>
          <w:szCs w:val="32"/>
          <w:lang w:val="zh-TW" w:eastAsia="zh-CN" w:bidi="ar-SA"/>
        </w:rPr>
        <w:t>，超额完成目标任务。</w:t>
      </w:r>
    </w:p>
    <w:p>
      <w:pPr>
        <w:spacing w:line="560" w:lineRule="exact"/>
        <w:ind w:firstLine="640" w:firstLineChars="200"/>
        <w:rPr>
          <w:rFonts w:hint="eastAsia" w:ascii="仿宋_GB2312" w:hAnsi="宋体" w:eastAsia="仿宋_GB2312" w:cs="黑体"/>
          <w:color w:val="000000"/>
          <w:kern w:val="0"/>
          <w:sz w:val="32"/>
          <w:szCs w:val="32"/>
          <w:lang w:val="zh-TW" w:eastAsia="zh-CN" w:bidi="ar-SA"/>
        </w:rPr>
      </w:pPr>
      <w:r>
        <w:rPr>
          <w:rFonts w:hint="eastAsia" w:ascii="仿宋_GB2312" w:hAnsi="宋体" w:eastAsia="仿宋_GB2312" w:cs="黑体"/>
          <w:color w:val="000000"/>
          <w:kern w:val="0"/>
          <w:sz w:val="32"/>
          <w:szCs w:val="32"/>
          <w:lang w:val="en-US" w:eastAsia="zh-CN" w:bidi="ar-SA"/>
        </w:rPr>
        <w:t>4</w:t>
      </w:r>
      <w:r>
        <w:rPr>
          <w:rFonts w:hint="eastAsia" w:ascii="仿宋_GB2312" w:hAnsi="宋体" w:eastAsia="仿宋_GB2312" w:cs="黑体"/>
          <w:color w:val="000000"/>
          <w:kern w:val="0"/>
          <w:sz w:val="32"/>
          <w:szCs w:val="32"/>
          <w:lang w:val="zh-TW" w:eastAsia="zh-CN" w:bidi="ar-SA"/>
        </w:rPr>
        <w:t>.充分使用集中带量药品耗材。截至202</w:t>
      </w:r>
      <w:r>
        <w:rPr>
          <w:rFonts w:hint="eastAsia" w:ascii="仿宋_GB2312" w:hAnsi="宋体" w:eastAsia="仿宋_GB2312" w:cs="黑体"/>
          <w:color w:val="000000"/>
          <w:kern w:val="0"/>
          <w:sz w:val="32"/>
          <w:szCs w:val="32"/>
          <w:lang w:val="en-US" w:eastAsia="zh-CN" w:bidi="ar-SA"/>
        </w:rPr>
        <w:t>2</w:t>
      </w:r>
      <w:r>
        <w:rPr>
          <w:rFonts w:hint="eastAsia" w:ascii="仿宋_GB2312" w:hAnsi="宋体" w:eastAsia="仿宋_GB2312" w:cs="黑体"/>
          <w:color w:val="000000"/>
          <w:kern w:val="0"/>
          <w:sz w:val="32"/>
          <w:szCs w:val="32"/>
          <w:lang w:val="zh-TW" w:eastAsia="zh-CN" w:bidi="ar-SA"/>
        </w:rPr>
        <w:t>年12月，辖区</w:t>
      </w:r>
      <w:r>
        <w:rPr>
          <w:rFonts w:hint="eastAsia" w:ascii="仿宋_GB2312" w:hAnsi="宋体" w:eastAsia="仿宋_GB2312" w:cs="黑体"/>
          <w:color w:val="000000"/>
          <w:kern w:val="0"/>
          <w:sz w:val="32"/>
          <w:szCs w:val="32"/>
          <w:lang w:val="en-US" w:eastAsia="zh-CN" w:bidi="ar-SA"/>
        </w:rPr>
        <w:t>11</w:t>
      </w:r>
      <w:r>
        <w:rPr>
          <w:rFonts w:hint="eastAsia" w:ascii="仿宋_GB2312" w:hAnsi="宋体" w:eastAsia="仿宋_GB2312" w:cs="黑体"/>
          <w:color w:val="000000"/>
          <w:kern w:val="0"/>
          <w:sz w:val="32"/>
          <w:szCs w:val="32"/>
          <w:lang w:val="zh-TW" w:eastAsia="zh-CN" w:bidi="ar-SA"/>
        </w:rPr>
        <w:t>所基层医疗单位均在网上采购和临床使用国家、省、市统一招标的</w:t>
      </w:r>
      <w:r>
        <w:rPr>
          <w:rFonts w:hint="eastAsia" w:ascii="仿宋_GB2312" w:hAnsi="宋体" w:eastAsia="仿宋_GB2312" w:cs="黑体"/>
          <w:color w:val="000000"/>
          <w:kern w:val="0"/>
          <w:sz w:val="32"/>
          <w:szCs w:val="32"/>
          <w:lang w:val="en-US" w:eastAsia="zh-CN" w:bidi="ar-SA"/>
        </w:rPr>
        <w:t>407</w:t>
      </w:r>
      <w:r>
        <w:rPr>
          <w:rFonts w:hint="eastAsia" w:ascii="仿宋_GB2312" w:hAnsi="宋体" w:eastAsia="仿宋_GB2312" w:cs="黑体"/>
          <w:color w:val="000000"/>
          <w:kern w:val="0"/>
          <w:sz w:val="32"/>
          <w:szCs w:val="32"/>
          <w:lang w:val="zh-TW" w:eastAsia="zh-CN" w:bidi="ar-SA"/>
        </w:rPr>
        <w:t>多种集采药品，药品价格平均降幅达</w:t>
      </w:r>
      <w:r>
        <w:rPr>
          <w:rFonts w:hint="eastAsia" w:ascii="仿宋_GB2312" w:hAnsi="宋体" w:eastAsia="仿宋_GB2312" w:cs="黑体"/>
          <w:color w:val="000000"/>
          <w:kern w:val="0"/>
          <w:sz w:val="32"/>
          <w:szCs w:val="32"/>
          <w:lang w:val="en-US" w:eastAsia="zh-CN" w:bidi="ar-SA"/>
        </w:rPr>
        <w:t>70</w:t>
      </w:r>
      <w:r>
        <w:rPr>
          <w:rFonts w:hint="eastAsia" w:ascii="仿宋_GB2312" w:hAnsi="宋体" w:eastAsia="仿宋_GB2312" w:cs="黑体"/>
          <w:color w:val="000000"/>
          <w:kern w:val="0"/>
          <w:sz w:val="32"/>
          <w:szCs w:val="32"/>
          <w:lang w:val="zh-TW" w:eastAsia="zh-CN" w:bidi="ar-SA"/>
        </w:rPr>
        <w:t>%，公立医疗机构全面取消医用耗材加成，零利润销售，人民群众医药负担明显减轻。</w:t>
      </w:r>
    </w:p>
    <w:p>
      <w:pPr>
        <w:spacing w:line="560" w:lineRule="exact"/>
        <w:ind w:firstLine="640" w:firstLineChars="200"/>
        <w:rPr>
          <w:rFonts w:hint="eastAsia" w:ascii="仿宋_GB2312" w:hAnsi="宋体" w:eastAsia="仿宋_GB2312" w:cs="黑体"/>
          <w:color w:val="000000"/>
          <w:kern w:val="0"/>
          <w:sz w:val="32"/>
          <w:szCs w:val="32"/>
          <w:lang w:val="zh-TW" w:eastAsia="zh-CN" w:bidi="ar-SA"/>
        </w:rPr>
      </w:pPr>
      <w:r>
        <w:rPr>
          <w:rFonts w:hint="eastAsia" w:ascii="仿宋_GB2312" w:hAnsi="宋体" w:eastAsia="仿宋_GB2312" w:cs="黑体"/>
          <w:color w:val="000000"/>
          <w:kern w:val="0"/>
          <w:sz w:val="32"/>
          <w:szCs w:val="32"/>
          <w:lang w:val="en-US" w:eastAsia="zh-CN" w:bidi="ar-SA"/>
        </w:rPr>
        <w:t>5</w:t>
      </w:r>
      <w:r>
        <w:rPr>
          <w:rFonts w:hint="eastAsia" w:ascii="仿宋_GB2312" w:hAnsi="宋体" w:eastAsia="仿宋_GB2312" w:cs="黑体"/>
          <w:color w:val="000000"/>
          <w:kern w:val="0"/>
          <w:sz w:val="32"/>
          <w:szCs w:val="32"/>
          <w:lang w:val="zh-TW" w:eastAsia="zh-CN" w:bidi="ar-SA"/>
        </w:rPr>
        <w:t>.持续开展打击欺诈骗保。</w:t>
      </w:r>
      <w:r>
        <w:rPr>
          <w:rFonts w:hint="eastAsia" w:ascii="仿宋_GB2312" w:hAnsi="宋体" w:eastAsia="仿宋_GB2312" w:cs="黑体"/>
          <w:color w:val="000000"/>
          <w:kern w:val="0"/>
          <w:sz w:val="32"/>
          <w:szCs w:val="32"/>
          <w:lang w:val="en-US" w:eastAsia="zh-CN" w:bidi="ar-SA"/>
        </w:rPr>
        <w:t>将打击欺诈骗保工作报请区委区政府纳入区绩效考核，由区政府牵头部署；今年</w:t>
      </w:r>
      <w:r>
        <w:rPr>
          <w:rFonts w:hint="eastAsia" w:ascii="仿宋_GB2312" w:hAnsi="宋体" w:eastAsia="仿宋_GB2312" w:cs="黑体"/>
          <w:color w:val="000000"/>
          <w:kern w:val="0"/>
          <w:sz w:val="32"/>
          <w:szCs w:val="32"/>
          <w:lang w:val="zh-TW" w:eastAsia="zh-CN" w:bidi="ar-SA"/>
        </w:rPr>
        <w:t>结合集中整治“回头看”工作，要求</w:t>
      </w:r>
      <w:r>
        <w:rPr>
          <w:rFonts w:hint="eastAsia" w:ascii="仿宋_GB2312" w:hAnsi="宋体" w:eastAsia="仿宋_GB2312" w:cs="黑体"/>
          <w:color w:val="000000"/>
          <w:kern w:val="0"/>
          <w:sz w:val="32"/>
          <w:szCs w:val="32"/>
          <w:lang w:val="en-US" w:eastAsia="zh-CN" w:bidi="ar-SA"/>
        </w:rPr>
        <w:t>210家医药机构开展自查自纠工作，</w:t>
      </w:r>
      <w:r>
        <w:rPr>
          <w:rFonts w:hint="eastAsia" w:ascii="仿宋_GB2312" w:hAnsi="宋体" w:eastAsia="仿宋_GB2312" w:cs="黑体"/>
          <w:color w:val="000000"/>
          <w:kern w:val="0"/>
          <w:sz w:val="32"/>
          <w:szCs w:val="32"/>
          <w:lang w:val="zh-TW" w:eastAsia="zh-CN" w:bidi="ar-SA"/>
        </w:rPr>
        <w:t>组织第三方监管专业人员、协同纪检、卫健、市场管理局等部门现场</w:t>
      </w:r>
      <w:r>
        <w:rPr>
          <w:rFonts w:hint="eastAsia" w:ascii="仿宋_GB2312" w:hAnsi="宋体" w:eastAsia="仿宋_GB2312" w:cs="黑体"/>
          <w:color w:val="000000"/>
          <w:kern w:val="0"/>
          <w:sz w:val="32"/>
          <w:szCs w:val="32"/>
          <w:lang w:val="en-US" w:eastAsia="zh-CN" w:bidi="ar-SA"/>
        </w:rPr>
        <w:t>检查定点医药机构，覆盖率已达100%，现场检查追回违规金额8万余元；</w:t>
      </w:r>
      <w:r>
        <w:rPr>
          <w:rFonts w:hint="eastAsia" w:ascii="仿宋_GB2312" w:hAnsi="宋体" w:eastAsia="仿宋_GB2312" w:cs="黑体"/>
          <w:color w:val="000000"/>
          <w:kern w:val="0"/>
          <w:sz w:val="32"/>
          <w:szCs w:val="32"/>
          <w:lang w:val="zh-TW" w:eastAsia="zh-CN" w:bidi="ar-SA"/>
        </w:rPr>
        <w:t>审核患者资料</w:t>
      </w:r>
      <w:r>
        <w:rPr>
          <w:rFonts w:hint="eastAsia" w:ascii="仿宋_GB2312" w:hAnsi="宋体" w:eastAsia="仿宋_GB2312" w:cs="黑体"/>
          <w:color w:val="000000"/>
          <w:kern w:val="0"/>
          <w:sz w:val="32"/>
          <w:szCs w:val="32"/>
          <w:lang w:val="en-US" w:eastAsia="zh-CN" w:bidi="ar-SA"/>
        </w:rPr>
        <w:t>6万</w:t>
      </w:r>
      <w:r>
        <w:rPr>
          <w:rFonts w:hint="eastAsia" w:ascii="仿宋_GB2312" w:hAnsi="宋体" w:eastAsia="仿宋_GB2312" w:cs="黑体"/>
          <w:color w:val="000000"/>
          <w:kern w:val="0"/>
          <w:sz w:val="32"/>
          <w:szCs w:val="32"/>
          <w:lang w:val="zh-TW" w:eastAsia="zh-CN" w:bidi="ar-SA"/>
        </w:rPr>
        <w:t>余人次，核减金额约</w:t>
      </w:r>
      <w:r>
        <w:rPr>
          <w:rFonts w:hint="eastAsia" w:ascii="仿宋_GB2312" w:hAnsi="宋体" w:eastAsia="仿宋_GB2312" w:cs="黑体"/>
          <w:color w:val="000000"/>
          <w:kern w:val="0"/>
          <w:sz w:val="32"/>
          <w:szCs w:val="32"/>
          <w:lang w:val="en-US" w:eastAsia="zh-CN" w:bidi="ar-SA"/>
        </w:rPr>
        <w:t>12万余元，实时开展</w:t>
      </w:r>
      <w:r>
        <w:rPr>
          <w:rFonts w:hint="eastAsia" w:ascii="仿宋_GB2312" w:hAnsi="宋体" w:eastAsia="仿宋_GB2312" w:cs="黑体"/>
          <w:color w:val="000000"/>
          <w:kern w:val="0"/>
          <w:sz w:val="32"/>
          <w:szCs w:val="32"/>
          <w:lang w:val="zh-TW" w:eastAsia="zh-CN" w:bidi="ar-SA"/>
        </w:rPr>
        <w:t>电话回访工作，医保基金使用安全得到有效维护。开展“基金监管集中宣传月活动”，</w:t>
      </w:r>
      <w:r>
        <w:rPr>
          <w:rFonts w:hint="eastAsia" w:ascii="仿宋_GB2312" w:hAnsi="宋体" w:eastAsia="仿宋_GB2312" w:cs="黑体"/>
          <w:color w:val="000000"/>
          <w:kern w:val="0"/>
          <w:sz w:val="32"/>
          <w:szCs w:val="32"/>
          <w:lang w:val="en-US" w:eastAsia="zh-CN" w:bidi="ar-SA"/>
        </w:rPr>
        <w:t>将辖区各乡镇（街道）和定点医药机构纳入统一宣传阵营，组织</w:t>
      </w:r>
      <w:r>
        <w:rPr>
          <w:rFonts w:hint="eastAsia" w:ascii="仿宋_GB2312" w:hAnsi="宋体" w:eastAsia="仿宋_GB2312" w:cs="黑体"/>
          <w:color w:val="000000"/>
          <w:kern w:val="0"/>
          <w:sz w:val="32"/>
          <w:szCs w:val="32"/>
          <w:lang w:val="zh-TW" w:eastAsia="zh-CN" w:bidi="ar-SA"/>
        </w:rPr>
        <w:t>各乡镇（街道）和定点医药机构集中培训，实现宣传全覆盖。</w:t>
      </w:r>
      <w:r>
        <w:rPr>
          <w:rFonts w:hint="eastAsia" w:ascii="仿宋_GB2312" w:hAnsi="宋体" w:eastAsia="仿宋_GB2312" w:cs="黑体"/>
          <w:color w:val="000000"/>
          <w:kern w:val="0"/>
          <w:sz w:val="32"/>
          <w:szCs w:val="32"/>
          <w:lang w:val="en-US" w:eastAsia="zh-CN" w:bidi="ar-SA"/>
        </w:rPr>
        <w:t>积极创新宣传方式，坚持线上线下相结合，</w:t>
      </w:r>
      <w:r>
        <w:rPr>
          <w:rFonts w:hint="eastAsia" w:ascii="仿宋_GB2312" w:hAnsi="宋体" w:eastAsia="仿宋_GB2312" w:cs="黑体"/>
          <w:color w:val="000000"/>
          <w:kern w:val="0"/>
          <w:sz w:val="32"/>
          <w:szCs w:val="32"/>
          <w:lang w:val="zh-TW" w:eastAsia="zh-CN" w:bidi="ar-SA"/>
        </w:rPr>
        <w:t>利用微信群、官网平台等多种</w:t>
      </w:r>
      <w:r>
        <w:rPr>
          <w:rFonts w:hint="eastAsia" w:ascii="仿宋_GB2312" w:hAnsi="宋体" w:eastAsia="仿宋_GB2312" w:cs="黑体"/>
          <w:color w:val="000000"/>
          <w:kern w:val="0"/>
          <w:sz w:val="32"/>
          <w:szCs w:val="32"/>
          <w:lang w:val="en-US" w:eastAsia="zh-CN" w:bidi="ar-SA"/>
        </w:rPr>
        <w:t>形式组织</w:t>
      </w:r>
      <w:r>
        <w:rPr>
          <w:rFonts w:hint="eastAsia" w:ascii="仿宋_GB2312" w:hAnsi="宋体" w:eastAsia="仿宋_GB2312" w:cs="黑体"/>
          <w:color w:val="000000"/>
          <w:kern w:val="0"/>
          <w:sz w:val="32"/>
          <w:szCs w:val="32"/>
          <w:lang w:val="zh-TW" w:eastAsia="zh-CN" w:bidi="ar-SA"/>
        </w:rPr>
        <w:t>开展。</w:t>
      </w:r>
      <w:r>
        <w:rPr>
          <w:rFonts w:hint="eastAsia" w:ascii="仿宋_GB2312" w:hAnsi="宋体" w:eastAsia="仿宋_GB2312" w:cs="黑体"/>
          <w:color w:val="000000"/>
          <w:kern w:val="0"/>
          <w:sz w:val="32"/>
          <w:szCs w:val="32"/>
          <w:lang w:val="en-US" w:eastAsia="zh-CN" w:bidi="ar-SA"/>
        </w:rPr>
        <w:t>活动共投放</w:t>
      </w:r>
      <w:r>
        <w:rPr>
          <w:rFonts w:hint="eastAsia" w:ascii="仿宋_GB2312" w:hAnsi="宋体" w:eastAsia="仿宋_GB2312" w:cs="黑体"/>
          <w:color w:val="000000"/>
          <w:kern w:val="0"/>
          <w:sz w:val="32"/>
          <w:szCs w:val="32"/>
          <w:lang w:val="zh-TW" w:eastAsia="zh-CN" w:bidi="ar-SA"/>
        </w:rPr>
        <w:t>传宣传手册</w:t>
      </w:r>
      <w:r>
        <w:rPr>
          <w:rFonts w:hint="eastAsia" w:ascii="仿宋_GB2312" w:hAnsi="宋体" w:eastAsia="仿宋_GB2312" w:cs="黑体"/>
          <w:color w:val="000000"/>
          <w:kern w:val="0"/>
          <w:sz w:val="32"/>
          <w:szCs w:val="32"/>
          <w:lang w:val="en-US" w:eastAsia="zh-CN" w:bidi="ar-SA"/>
        </w:rPr>
        <w:t>2万余</w:t>
      </w:r>
      <w:r>
        <w:rPr>
          <w:rFonts w:hint="eastAsia" w:ascii="仿宋_GB2312" w:hAnsi="宋体" w:eastAsia="仿宋_GB2312" w:cs="黑体"/>
          <w:color w:val="000000"/>
          <w:kern w:val="0"/>
          <w:sz w:val="32"/>
          <w:szCs w:val="32"/>
          <w:lang w:val="zh-TW" w:eastAsia="zh-CN" w:bidi="ar-SA"/>
        </w:rPr>
        <w:t>份，医保宣传手袋</w:t>
      </w:r>
      <w:r>
        <w:rPr>
          <w:rFonts w:hint="eastAsia" w:ascii="仿宋_GB2312" w:hAnsi="宋体" w:eastAsia="仿宋_GB2312" w:cs="黑体"/>
          <w:color w:val="000000"/>
          <w:kern w:val="0"/>
          <w:sz w:val="32"/>
          <w:szCs w:val="32"/>
          <w:lang w:val="en-US" w:eastAsia="zh-CN" w:bidi="ar-SA"/>
        </w:rPr>
        <w:t>2万余个，</w:t>
      </w:r>
      <w:r>
        <w:rPr>
          <w:rFonts w:hint="eastAsia" w:ascii="仿宋_GB2312" w:hAnsi="宋体" w:eastAsia="仿宋_GB2312" w:cs="黑体"/>
          <w:color w:val="000000"/>
          <w:kern w:val="0"/>
          <w:sz w:val="32"/>
          <w:szCs w:val="32"/>
          <w:lang w:val="zh-TW" w:eastAsia="zh-CN" w:bidi="ar-SA"/>
        </w:rPr>
        <w:t>悬挂海报、横幅</w:t>
      </w:r>
      <w:r>
        <w:rPr>
          <w:rFonts w:hint="eastAsia" w:ascii="仿宋_GB2312" w:hAnsi="宋体" w:eastAsia="仿宋_GB2312" w:cs="黑体"/>
          <w:color w:val="000000"/>
          <w:kern w:val="0"/>
          <w:sz w:val="32"/>
          <w:szCs w:val="32"/>
          <w:lang w:val="en-US" w:eastAsia="zh-CN" w:bidi="ar-SA"/>
        </w:rPr>
        <w:t>1035处</w:t>
      </w:r>
      <w:r>
        <w:rPr>
          <w:rFonts w:hint="eastAsia" w:ascii="仿宋_GB2312" w:hAnsi="宋体" w:eastAsia="仿宋_GB2312" w:cs="黑体"/>
          <w:color w:val="000000"/>
          <w:kern w:val="0"/>
          <w:sz w:val="32"/>
          <w:szCs w:val="32"/>
          <w:lang w:val="zh-TW" w:eastAsia="zh-CN" w:bidi="ar-SA"/>
        </w:rPr>
        <w:t>，</w:t>
      </w:r>
      <w:r>
        <w:rPr>
          <w:rFonts w:hint="eastAsia" w:ascii="仿宋_GB2312" w:hAnsi="宋体" w:eastAsia="仿宋_GB2312" w:cs="黑体"/>
          <w:color w:val="000000"/>
          <w:kern w:val="0"/>
          <w:sz w:val="32"/>
          <w:szCs w:val="32"/>
          <w:lang w:val="en-US" w:eastAsia="zh-CN" w:bidi="ar-SA"/>
        </w:rPr>
        <w:t>播放宣传短视频467</w:t>
      </w:r>
      <w:r>
        <w:rPr>
          <w:rFonts w:hint="eastAsia" w:ascii="仿宋_GB2312" w:hAnsi="宋体" w:eastAsia="仿宋_GB2312" w:cs="黑体"/>
          <w:color w:val="000000"/>
          <w:kern w:val="0"/>
          <w:sz w:val="32"/>
          <w:szCs w:val="32"/>
          <w:lang w:val="zh-TW" w:eastAsia="zh-CN" w:bidi="ar-SA"/>
        </w:rPr>
        <w:t>条次，</w:t>
      </w:r>
      <w:r>
        <w:rPr>
          <w:rFonts w:hint="eastAsia" w:ascii="仿宋_GB2312" w:hAnsi="宋体" w:eastAsia="仿宋_GB2312" w:cs="黑体"/>
          <w:color w:val="000000"/>
          <w:kern w:val="0"/>
          <w:sz w:val="32"/>
          <w:szCs w:val="32"/>
          <w:lang w:val="en-US" w:eastAsia="zh-CN" w:bidi="ar-SA"/>
        </w:rPr>
        <w:t>大型LED电子显示广告屏1个，</w:t>
      </w:r>
      <w:r>
        <w:rPr>
          <w:rFonts w:hint="eastAsia" w:ascii="仿宋_GB2312" w:hAnsi="宋体" w:eastAsia="仿宋_GB2312" w:cs="黑体"/>
          <w:color w:val="000000"/>
          <w:kern w:val="0"/>
          <w:sz w:val="32"/>
          <w:szCs w:val="32"/>
          <w:lang w:val="zh-TW" w:eastAsia="zh-CN" w:bidi="ar-SA"/>
        </w:rPr>
        <w:t>网络媒体总点击阅读量</w:t>
      </w:r>
      <w:r>
        <w:rPr>
          <w:rFonts w:hint="eastAsia" w:ascii="仿宋_GB2312" w:hAnsi="宋体" w:eastAsia="仿宋_GB2312" w:cs="黑体"/>
          <w:color w:val="000000"/>
          <w:kern w:val="0"/>
          <w:sz w:val="32"/>
          <w:szCs w:val="32"/>
          <w:lang w:val="en-US" w:eastAsia="zh-CN" w:bidi="ar-SA"/>
        </w:rPr>
        <w:t>500余</w:t>
      </w:r>
      <w:r>
        <w:rPr>
          <w:rFonts w:hint="eastAsia" w:ascii="仿宋_GB2312" w:hAnsi="宋体" w:eastAsia="仿宋_GB2312" w:cs="黑体"/>
          <w:color w:val="000000"/>
          <w:kern w:val="0"/>
          <w:sz w:val="32"/>
          <w:szCs w:val="32"/>
          <w:lang w:val="zh-TW" w:eastAsia="zh-CN" w:bidi="ar-SA"/>
        </w:rPr>
        <w:t>次，</w:t>
      </w:r>
      <w:r>
        <w:rPr>
          <w:rFonts w:hint="eastAsia" w:ascii="仿宋_GB2312" w:hAnsi="宋体" w:eastAsia="仿宋_GB2312" w:cs="黑体"/>
          <w:color w:val="000000"/>
          <w:kern w:val="0"/>
          <w:sz w:val="32"/>
          <w:szCs w:val="32"/>
          <w:lang w:val="en-US" w:eastAsia="zh-CN" w:bidi="ar-SA"/>
        </w:rPr>
        <w:t>参与“我是医保基金守护者”线上答题1000余人次</w:t>
      </w:r>
      <w:r>
        <w:rPr>
          <w:rFonts w:hint="eastAsia" w:ascii="仿宋_GB2312" w:hAnsi="宋体" w:eastAsia="仿宋_GB2312" w:cs="黑体"/>
          <w:color w:val="000000"/>
          <w:kern w:val="0"/>
          <w:sz w:val="32"/>
          <w:szCs w:val="32"/>
          <w:lang w:val="zh-TW" w:eastAsia="zh-CN" w:bidi="ar-SA"/>
        </w:rPr>
        <w:t>。</w:t>
      </w:r>
    </w:p>
    <w:p>
      <w:pPr>
        <w:spacing w:line="560" w:lineRule="exact"/>
        <w:ind w:firstLine="640" w:firstLineChars="200"/>
        <w:rPr>
          <w:rFonts w:hint="eastAsia" w:ascii="仿宋_GB2312" w:hAnsi="宋体" w:eastAsia="仿宋_GB2312" w:cs="黑体"/>
          <w:color w:val="000000"/>
          <w:kern w:val="0"/>
          <w:sz w:val="32"/>
          <w:szCs w:val="32"/>
          <w:lang w:val="en-US" w:eastAsia="zh-CN" w:bidi="ar-SA"/>
        </w:rPr>
      </w:pPr>
      <w:r>
        <w:rPr>
          <w:rFonts w:hint="eastAsia" w:ascii="仿宋_GB2312" w:hAnsi="宋体" w:eastAsia="仿宋_GB2312" w:cs="黑体"/>
          <w:color w:val="000000"/>
          <w:kern w:val="0"/>
          <w:sz w:val="32"/>
          <w:szCs w:val="32"/>
          <w:lang w:val="en-US" w:eastAsia="zh-CN" w:bidi="ar-SA"/>
        </w:rPr>
        <w:t>6</w:t>
      </w:r>
      <w:r>
        <w:rPr>
          <w:rFonts w:hint="eastAsia" w:ascii="仿宋_GB2312" w:hAnsi="宋体" w:eastAsia="仿宋_GB2312" w:cs="黑体"/>
          <w:color w:val="000000"/>
          <w:kern w:val="0"/>
          <w:sz w:val="32"/>
          <w:szCs w:val="32"/>
          <w:lang w:val="zh-TW" w:eastAsia="zh-CN" w:bidi="ar-SA"/>
        </w:rPr>
        <w:t>.持续优化医保经办服务。一是</w:t>
      </w:r>
      <w:r>
        <w:rPr>
          <w:rFonts w:hint="eastAsia" w:ascii="仿宋_GB2312" w:hAnsi="宋体" w:eastAsia="仿宋_GB2312" w:cs="黑体"/>
          <w:color w:val="000000"/>
          <w:kern w:val="0"/>
          <w:sz w:val="32"/>
          <w:szCs w:val="32"/>
          <w:lang w:val="en-US" w:eastAsia="zh-CN" w:bidi="ar-SA"/>
        </w:rPr>
        <w:t>全面实施省级医疗经办政务服务事项清单和落实经办事项操作规范，坚持传统服务与智能化服务创新并行，为老年人参保开展现金代缴服务、电话异地就医备案服务，通过QQ群开通村社区帮老年人代办医保服务。二是</w:t>
      </w:r>
      <w:r>
        <w:rPr>
          <w:rFonts w:hint="eastAsia" w:ascii="仿宋_GB2312" w:hAnsi="宋体" w:eastAsia="仿宋_GB2312" w:cs="黑体"/>
          <w:color w:val="000000"/>
          <w:kern w:val="0"/>
          <w:sz w:val="32"/>
          <w:szCs w:val="32"/>
          <w:lang w:val="zh-TW" w:eastAsia="zh-CN" w:bidi="ar-SA"/>
        </w:rPr>
        <w:t>出台了《关于印发</w:t>
      </w:r>
      <w:r>
        <w:rPr>
          <w:rFonts w:hint="eastAsia" w:ascii="仿宋_GB2312" w:hAnsi="宋体" w:eastAsia="仿宋_GB2312" w:cs="黑体"/>
          <w:color w:val="000000"/>
          <w:kern w:val="0"/>
          <w:sz w:val="32"/>
          <w:szCs w:val="32"/>
          <w:lang w:val="en-US" w:eastAsia="zh-CN" w:bidi="ar-SA"/>
        </w:rPr>
        <w:t>&lt;株洲市芦淞区医疗保障局2022年医疗保障经办管理服务规范年建设工作实施方案&gt;的通知</w:t>
      </w:r>
      <w:r>
        <w:rPr>
          <w:rFonts w:hint="eastAsia" w:ascii="仿宋_GB2312" w:hAnsi="宋体" w:eastAsia="仿宋_GB2312" w:cs="黑体"/>
          <w:color w:val="000000"/>
          <w:kern w:val="0"/>
          <w:sz w:val="32"/>
          <w:szCs w:val="32"/>
          <w:lang w:val="zh-TW" w:eastAsia="zh-CN" w:bidi="ar-SA"/>
        </w:rPr>
        <w:t>》，分解任务责任到人到岗，提升人民群众办事的满意度。截止</w:t>
      </w:r>
      <w:r>
        <w:rPr>
          <w:rFonts w:hint="eastAsia" w:ascii="仿宋_GB2312" w:hAnsi="宋体" w:eastAsia="仿宋_GB2312" w:cs="黑体"/>
          <w:color w:val="000000"/>
          <w:kern w:val="0"/>
          <w:sz w:val="32"/>
          <w:szCs w:val="32"/>
          <w:lang w:val="en-US" w:eastAsia="zh-CN" w:bidi="ar-SA"/>
        </w:rPr>
        <w:t>12</w:t>
      </w:r>
      <w:r>
        <w:rPr>
          <w:rFonts w:hint="eastAsia" w:ascii="仿宋_GB2312" w:hAnsi="宋体" w:eastAsia="仿宋_GB2312" w:cs="黑体"/>
          <w:color w:val="000000"/>
          <w:kern w:val="0"/>
          <w:sz w:val="32"/>
          <w:szCs w:val="32"/>
          <w:lang w:val="zh-TW" w:eastAsia="zh-CN" w:bidi="ar-SA"/>
        </w:rPr>
        <w:t>月医保窗口办理职工医保异动</w:t>
      </w:r>
      <w:r>
        <w:rPr>
          <w:rFonts w:hint="eastAsia" w:ascii="仿宋_GB2312" w:hAnsi="宋体" w:eastAsia="仿宋_GB2312" w:cs="黑体"/>
          <w:color w:val="000000"/>
          <w:kern w:val="0"/>
          <w:sz w:val="32"/>
          <w:szCs w:val="32"/>
          <w:lang w:val="en-US" w:eastAsia="zh-CN" w:bidi="ar-SA"/>
        </w:rPr>
        <w:t>5800</w:t>
      </w:r>
      <w:r>
        <w:rPr>
          <w:rFonts w:hint="eastAsia" w:ascii="仿宋_GB2312" w:hAnsi="宋体" w:eastAsia="仿宋_GB2312" w:cs="黑体"/>
          <w:color w:val="000000"/>
          <w:kern w:val="0"/>
          <w:sz w:val="32"/>
          <w:szCs w:val="32"/>
          <w:lang w:val="zh-TW" w:eastAsia="zh-CN" w:bidi="ar-SA"/>
        </w:rPr>
        <w:t>余人次，办理居民，新生儿参保</w:t>
      </w:r>
      <w:r>
        <w:rPr>
          <w:rFonts w:hint="eastAsia" w:ascii="仿宋_GB2312" w:hAnsi="宋体" w:eastAsia="仿宋_GB2312" w:cs="黑体"/>
          <w:color w:val="000000"/>
          <w:kern w:val="0"/>
          <w:sz w:val="32"/>
          <w:szCs w:val="32"/>
          <w:lang w:val="en-US" w:eastAsia="zh-CN" w:bidi="ar-SA"/>
        </w:rPr>
        <w:t>310</w:t>
      </w:r>
      <w:r>
        <w:rPr>
          <w:rFonts w:hint="eastAsia" w:ascii="仿宋_GB2312" w:hAnsi="宋体" w:eastAsia="仿宋_GB2312" w:cs="黑体"/>
          <w:color w:val="000000"/>
          <w:kern w:val="0"/>
          <w:sz w:val="32"/>
          <w:szCs w:val="32"/>
          <w:lang w:val="zh-TW" w:eastAsia="zh-CN" w:bidi="ar-SA"/>
        </w:rPr>
        <w:t>余人次，办理新单位开户</w:t>
      </w:r>
      <w:r>
        <w:rPr>
          <w:rFonts w:hint="eastAsia" w:ascii="仿宋_GB2312" w:hAnsi="宋体" w:eastAsia="仿宋_GB2312" w:cs="黑体"/>
          <w:color w:val="000000"/>
          <w:kern w:val="0"/>
          <w:sz w:val="32"/>
          <w:szCs w:val="32"/>
          <w:lang w:val="en-US" w:eastAsia="zh-CN" w:bidi="ar-SA"/>
        </w:rPr>
        <w:t>330余次。政务服务办事件6608次，评价数6608次，满意度达100%，三是按照“一件事一次办”要求，建立统一的群众办事流程简化清单，抓好清单落地。按照“最少必须”原则，我局落实下放乡镇（街道）、村（社区）医保经办事项清单不少于七项。四是推进经办服务下沉。为解决辖区偏远地区群众办事不便问题，特别针对老年人和残特人等特殊人群办事不便情况，推进服务前移，将7项以上经办服务事项下放到就医人员流量大、医保政策急需的医疗机构，有效解决参保人员医院、经办机构两头跑的问题。</w:t>
      </w:r>
    </w:p>
    <w:p>
      <w:pPr>
        <w:spacing w:line="560" w:lineRule="exact"/>
        <w:ind w:firstLine="643" w:firstLineChars="200"/>
        <w:rPr>
          <w:rFonts w:eastAsia="楷体_GB2312"/>
          <w:b/>
          <w:sz w:val="32"/>
          <w:szCs w:val="32"/>
        </w:rPr>
      </w:pPr>
      <w:r>
        <w:rPr>
          <w:rFonts w:eastAsia="楷体_GB2312"/>
          <w:b/>
          <w:sz w:val="32"/>
          <w:szCs w:val="32"/>
        </w:rPr>
        <w:t>（二）专项资金支出绩效情况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本部门</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年年初预算专项资金共</w:t>
      </w:r>
      <w:r>
        <w:rPr>
          <w:rFonts w:hint="eastAsia" w:ascii="仿宋_GB2312" w:hAnsi="仿宋" w:eastAsia="仿宋_GB2312"/>
          <w:sz w:val="32"/>
          <w:szCs w:val="32"/>
          <w:lang w:val="en-US" w:eastAsia="zh-CN"/>
        </w:rPr>
        <w:t>6</w:t>
      </w:r>
      <w:r>
        <w:rPr>
          <w:rFonts w:hint="eastAsia" w:ascii="仿宋_GB2312" w:hAnsi="仿宋" w:eastAsia="仿宋_GB2312"/>
          <w:sz w:val="32"/>
          <w:szCs w:val="32"/>
        </w:rPr>
        <w:t>个，具体情况如下：</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一是城乡居民医保</w:t>
      </w:r>
      <w:r>
        <w:rPr>
          <w:rFonts w:hint="eastAsia" w:ascii="仿宋_GB2312" w:hAnsi="仿宋" w:eastAsia="仿宋_GB2312"/>
          <w:sz w:val="32"/>
          <w:szCs w:val="32"/>
          <w:highlight w:val="none"/>
          <w:lang w:eastAsia="zh-CN"/>
        </w:rPr>
        <w:t>专项（含</w:t>
      </w:r>
      <w:r>
        <w:rPr>
          <w:rFonts w:hint="eastAsia" w:ascii="仿宋_GB2312" w:hAnsi="仿宋" w:eastAsia="仿宋_GB2312"/>
          <w:sz w:val="32"/>
          <w:szCs w:val="32"/>
          <w:highlight w:val="none"/>
          <w:lang w:val="en-US" w:eastAsia="zh-CN"/>
        </w:rPr>
        <w:t>3个专项）</w:t>
      </w:r>
      <w:r>
        <w:rPr>
          <w:rFonts w:hint="eastAsia" w:ascii="仿宋_GB2312" w:hAnsi="仿宋" w:eastAsia="仿宋_GB2312"/>
          <w:sz w:val="32"/>
          <w:szCs w:val="32"/>
          <w:highlight w:val="none"/>
          <w:lang w:eastAsia="zh-CN"/>
        </w:rPr>
        <w:t>，预算支出</w:t>
      </w:r>
      <w:r>
        <w:rPr>
          <w:rFonts w:hint="eastAsia" w:ascii="仿宋_GB2312" w:hAnsi="仿宋" w:eastAsia="仿宋_GB2312"/>
          <w:sz w:val="32"/>
          <w:szCs w:val="32"/>
          <w:highlight w:val="none"/>
          <w:lang w:val="en-US" w:eastAsia="zh-CN"/>
        </w:rPr>
        <w:t>418万元（包括</w:t>
      </w:r>
      <w:r>
        <w:rPr>
          <w:rFonts w:hint="eastAsia" w:ascii="仿宋_GB2312" w:hAnsi="仿宋" w:eastAsia="仿宋_GB2312"/>
          <w:sz w:val="32"/>
          <w:szCs w:val="32"/>
        </w:rPr>
        <w:t>参保缴费代办工作劳务费（农村居民）等相关工作经费15.00</w:t>
      </w:r>
      <w:r>
        <w:rPr>
          <w:rFonts w:hint="eastAsia" w:ascii="仿宋_GB2312" w:hAnsi="仿宋" w:eastAsia="仿宋_GB2312"/>
          <w:sz w:val="32"/>
          <w:szCs w:val="32"/>
          <w:highlight w:val="none"/>
          <w:lang w:eastAsia="zh-CN"/>
        </w:rPr>
        <w:t>万元、</w:t>
      </w:r>
      <w:r>
        <w:rPr>
          <w:rFonts w:hint="eastAsia" w:ascii="仿宋_GB2312" w:hAnsi="仿宋" w:eastAsia="仿宋_GB2312"/>
          <w:sz w:val="32"/>
          <w:szCs w:val="32"/>
        </w:rPr>
        <w:t>城乡居民医保特殊门诊专家评审费2.00</w:t>
      </w:r>
      <w:r>
        <w:rPr>
          <w:rFonts w:hint="eastAsia" w:ascii="仿宋_GB2312" w:hAnsi="仿宋" w:eastAsia="仿宋_GB2312"/>
          <w:sz w:val="32"/>
          <w:szCs w:val="32"/>
          <w:lang w:eastAsia="zh-CN"/>
        </w:rPr>
        <w:t>万元</w:t>
      </w:r>
      <w:r>
        <w:rPr>
          <w:rFonts w:hint="eastAsia" w:ascii="仿宋_GB2312" w:hAnsi="仿宋" w:eastAsia="仿宋_GB2312"/>
          <w:sz w:val="32"/>
          <w:szCs w:val="32"/>
          <w:lang w:val="en-US" w:eastAsia="zh-CN"/>
        </w:rPr>
        <w:t>、打击欺诈骗保举报奖励1万元、</w:t>
      </w:r>
      <w:r>
        <w:rPr>
          <w:rFonts w:hint="eastAsia" w:ascii="仿宋_GB2312" w:hAnsi="仿宋" w:eastAsia="仿宋_GB2312"/>
          <w:sz w:val="32"/>
          <w:szCs w:val="32"/>
        </w:rPr>
        <w:t>城乡医疗救助资金</w:t>
      </w:r>
      <w:r>
        <w:rPr>
          <w:rFonts w:hint="eastAsia" w:ascii="仿宋_GB2312" w:hAnsi="仿宋" w:eastAsia="仿宋_GB2312"/>
          <w:sz w:val="32"/>
          <w:szCs w:val="32"/>
          <w:lang w:val="en-US" w:eastAsia="zh-CN"/>
        </w:rPr>
        <w:t>400.00万元），</w:t>
      </w:r>
      <w:r>
        <w:rPr>
          <w:rFonts w:hint="eastAsia" w:ascii="仿宋_GB2312" w:hAnsi="仿宋" w:eastAsia="仿宋_GB2312"/>
          <w:sz w:val="32"/>
          <w:szCs w:val="32"/>
          <w:highlight w:val="none"/>
        </w:rPr>
        <w:t>实际支出</w:t>
      </w:r>
      <w:r>
        <w:rPr>
          <w:rFonts w:hint="eastAsia" w:ascii="仿宋_GB2312" w:hAnsi="仿宋" w:eastAsia="仿宋_GB2312"/>
          <w:sz w:val="32"/>
          <w:szCs w:val="32"/>
          <w:highlight w:val="none"/>
          <w:lang w:val="en-US" w:eastAsia="zh-CN"/>
        </w:rPr>
        <w:t>4.18</w:t>
      </w:r>
      <w:r>
        <w:rPr>
          <w:rFonts w:hint="eastAsia" w:ascii="仿宋_GB2312" w:hAnsi="仿宋" w:eastAsia="仿宋_GB2312"/>
          <w:sz w:val="32"/>
          <w:szCs w:val="32"/>
          <w:highlight w:val="none"/>
          <w:lang w:eastAsia="zh-CN"/>
        </w:rPr>
        <w:t>万元</w:t>
      </w:r>
      <w:r>
        <w:rPr>
          <w:rFonts w:hint="eastAsia" w:ascii="仿宋_GB2312" w:hAnsi="仿宋" w:eastAsia="仿宋_GB2312"/>
          <w:sz w:val="32"/>
          <w:szCs w:val="32"/>
          <w:highlight w:val="none"/>
        </w:rPr>
        <w:t>，该专项资金支出</w:t>
      </w:r>
      <w:r>
        <w:rPr>
          <w:rFonts w:hint="eastAsia" w:ascii="仿宋_GB2312" w:hAnsi="仿宋" w:eastAsia="仿宋_GB2312"/>
          <w:sz w:val="32"/>
          <w:szCs w:val="32"/>
          <w:highlight w:val="none"/>
          <w:lang w:eastAsia="zh-CN"/>
        </w:rPr>
        <w:t>用于引导社会各方参与医疗保障基金监督工作，切实保障医疗保障基金安全；做好特困供养人员全额救助、低保对象“一站式”结算、资助特殊人群参保等工作；完善城乡居民基本医疗保险制度政策体系，保障参保人员特殊病种门诊医疗基本需求，加强城乡居民基本医疗保险特殊病种门诊管理；参保缴费代办工作劳务费（农村居民）等相关工作</w:t>
      </w:r>
      <w:r>
        <w:rPr>
          <w:rFonts w:hint="eastAsia" w:ascii="仿宋_GB2312" w:hAnsi="仿宋" w:eastAsia="仿宋_GB2312"/>
          <w:sz w:val="32"/>
          <w:szCs w:val="32"/>
        </w:rPr>
        <w:t>。</w:t>
      </w:r>
    </w:p>
    <w:p>
      <w:pPr>
        <w:pStyle w:val="2"/>
        <w:ind w:left="0" w:leftChars="0" w:firstLine="640" w:firstLineChars="200"/>
        <w:rPr>
          <w:rFonts w:hint="eastAsia" w:ascii="仿宋_GB2312" w:hAnsi="仿宋" w:eastAsia="仿宋_GB2312"/>
          <w:sz w:val="32"/>
          <w:szCs w:val="32"/>
        </w:rPr>
      </w:pPr>
      <w:r>
        <w:rPr>
          <w:rFonts w:hint="eastAsia" w:ascii="仿宋_GB2312" w:hAnsi="仿宋" w:eastAsia="仿宋_GB2312"/>
          <w:sz w:val="32"/>
          <w:szCs w:val="32"/>
          <w:highlight w:val="none"/>
          <w:lang w:eastAsia="zh-CN"/>
        </w:rPr>
        <w:t>二是</w:t>
      </w:r>
      <w:r>
        <w:rPr>
          <w:rFonts w:hint="eastAsia" w:ascii="仿宋_GB2312" w:hAnsi="仿宋" w:eastAsia="仿宋_GB2312"/>
          <w:sz w:val="32"/>
          <w:szCs w:val="32"/>
        </w:rPr>
        <w:t>困难企业退休人员基本医疗保险费</w:t>
      </w:r>
      <w:r>
        <w:rPr>
          <w:rFonts w:hint="eastAsia" w:ascii="仿宋_GB2312" w:hAnsi="仿宋" w:eastAsia="仿宋_GB2312"/>
          <w:sz w:val="32"/>
          <w:szCs w:val="32"/>
          <w:lang w:eastAsia="zh-CN"/>
        </w:rPr>
        <w:t>专项，预算支出</w:t>
      </w:r>
      <w:r>
        <w:rPr>
          <w:rFonts w:hint="eastAsia" w:ascii="仿宋_GB2312" w:hAnsi="仿宋" w:eastAsia="仿宋_GB2312"/>
          <w:sz w:val="32"/>
          <w:szCs w:val="32"/>
        </w:rPr>
        <w:t>160.00</w:t>
      </w:r>
      <w:r>
        <w:rPr>
          <w:rFonts w:hint="eastAsia" w:ascii="仿宋_GB2312" w:hAnsi="仿宋" w:eastAsia="仿宋_GB2312"/>
          <w:sz w:val="32"/>
          <w:szCs w:val="32"/>
          <w:lang w:eastAsia="zh-CN"/>
        </w:rPr>
        <w:t>万元，实际支出</w:t>
      </w:r>
      <w:r>
        <w:rPr>
          <w:rFonts w:hint="eastAsia" w:ascii="仿宋_GB2312" w:hAnsi="仿宋" w:eastAsia="仿宋_GB2312"/>
          <w:sz w:val="32"/>
          <w:szCs w:val="32"/>
          <w:lang w:val="en-US" w:eastAsia="zh-CN"/>
        </w:rPr>
        <w:t>0万元，因财政资金紧张，指标结转至下年使用。</w:t>
      </w:r>
    </w:p>
    <w:p>
      <w:pPr>
        <w:pStyle w:val="2"/>
        <w:ind w:left="0" w:leftChars="0"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lang w:eastAsia="zh-CN"/>
        </w:rPr>
        <w:t>三是</w:t>
      </w:r>
      <w:r>
        <w:rPr>
          <w:rFonts w:hint="eastAsia" w:ascii="仿宋_GB2312" w:hAnsi="仿宋" w:eastAsia="仿宋_GB2312"/>
          <w:sz w:val="32"/>
          <w:szCs w:val="32"/>
        </w:rPr>
        <w:t>离休干部医药费</w:t>
      </w:r>
      <w:r>
        <w:rPr>
          <w:rFonts w:hint="eastAsia" w:ascii="仿宋_GB2312" w:hAnsi="仿宋" w:eastAsia="仿宋_GB2312"/>
          <w:sz w:val="32"/>
          <w:szCs w:val="32"/>
          <w:lang w:eastAsia="zh-CN"/>
        </w:rPr>
        <w:t>专项，预算</w:t>
      </w:r>
      <w:r>
        <w:rPr>
          <w:rFonts w:hint="eastAsia" w:ascii="仿宋_GB2312" w:hAnsi="仿宋" w:eastAsia="仿宋_GB2312"/>
          <w:sz w:val="32"/>
          <w:szCs w:val="32"/>
        </w:rPr>
        <w:t>50.00</w:t>
      </w:r>
      <w:r>
        <w:rPr>
          <w:rFonts w:hint="eastAsia" w:ascii="仿宋_GB2312" w:hAnsi="仿宋" w:eastAsia="仿宋_GB2312"/>
          <w:sz w:val="32"/>
          <w:szCs w:val="32"/>
          <w:lang w:eastAsia="zh-CN"/>
        </w:rPr>
        <w:t>万元，实际支出</w:t>
      </w:r>
      <w:r>
        <w:rPr>
          <w:rFonts w:hint="eastAsia" w:ascii="仿宋_GB2312" w:hAnsi="仿宋" w:eastAsia="仿宋_GB2312"/>
          <w:sz w:val="32"/>
          <w:szCs w:val="32"/>
          <w:lang w:val="en-US" w:eastAsia="zh-CN"/>
        </w:rPr>
        <w:t>40.44万元，</w:t>
      </w:r>
      <w:r>
        <w:rPr>
          <w:rFonts w:hint="eastAsia" w:ascii="仿宋_GB2312" w:hAnsi="仿宋" w:eastAsia="仿宋_GB2312"/>
          <w:sz w:val="32"/>
          <w:szCs w:val="32"/>
          <w:highlight w:val="none"/>
        </w:rPr>
        <w:t>该专项资金支出</w:t>
      </w:r>
      <w:r>
        <w:rPr>
          <w:rFonts w:hint="eastAsia" w:ascii="仿宋_GB2312" w:hAnsi="仿宋" w:eastAsia="仿宋_GB2312"/>
          <w:sz w:val="32"/>
          <w:szCs w:val="32"/>
          <w:highlight w:val="none"/>
          <w:lang w:eastAsia="zh-CN"/>
        </w:rPr>
        <w:t>用于及时将款项上交市局，保证离休干部的医疗待遇，方便离休干部就医。</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实际支出中以下项目未做年初预算，具体情况如下：</w:t>
      </w:r>
    </w:p>
    <w:p>
      <w:pPr>
        <w:pStyle w:val="2"/>
        <w:ind w:left="0" w:leftChars="0"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一是医疗救助中央和省级财政补助资金实际支出</w:t>
      </w:r>
      <w:r>
        <w:rPr>
          <w:rFonts w:hint="eastAsia" w:ascii="仿宋_GB2312" w:hAnsi="仿宋" w:eastAsia="仿宋_GB2312"/>
          <w:sz w:val="32"/>
          <w:szCs w:val="32"/>
          <w:lang w:val="en-US" w:eastAsia="zh-CN"/>
        </w:rPr>
        <w:t>155.93</w:t>
      </w:r>
      <w:r>
        <w:rPr>
          <w:rFonts w:hint="eastAsia" w:ascii="仿宋_GB2312" w:hAnsi="仿宋" w:eastAsia="仿宋_GB2312"/>
          <w:sz w:val="32"/>
          <w:szCs w:val="32"/>
          <w:lang w:eastAsia="zh-CN"/>
        </w:rPr>
        <w:t>万元，资金来源为上级拨款未纳入年初预算。</w:t>
      </w:r>
    </w:p>
    <w:p>
      <w:pPr>
        <w:pStyle w:val="2"/>
        <w:ind w:left="0" w:leftChars="0" w:firstLine="640" w:firstLineChars="200"/>
        <w:rPr>
          <w:rFonts w:hint="eastAsia" w:ascii="仿宋_GB2312" w:hAnsi="仿宋" w:eastAsia="仿宋_GB2312"/>
          <w:sz w:val="32"/>
          <w:szCs w:val="32"/>
          <w:lang w:eastAsia="zh-CN"/>
        </w:rPr>
      </w:pPr>
      <w:r>
        <w:rPr>
          <w:rFonts w:hint="eastAsia" w:ascii="仿宋_GB2312" w:hAnsi="仿宋" w:eastAsia="仿宋_GB2312"/>
          <w:kern w:val="2"/>
          <w:sz w:val="32"/>
          <w:szCs w:val="32"/>
          <w:lang w:val="en-US" w:eastAsia="zh-CN" w:bidi="ar-SA"/>
        </w:rPr>
        <w:t>二是中央补助医疗服务与保障能力提升项目经费实际支出48.00万元</w:t>
      </w:r>
      <w:r>
        <w:rPr>
          <w:rFonts w:hint="eastAsia" w:ascii="仿宋_GB2312" w:hAnsi="仿宋" w:eastAsia="仿宋_GB2312"/>
          <w:sz w:val="32"/>
          <w:szCs w:val="32"/>
          <w:lang w:eastAsia="zh-CN"/>
        </w:rPr>
        <w:t>，资金来源为上级拨款未纳入年初预算。</w:t>
      </w:r>
    </w:p>
    <w:p>
      <w:pPr>
        <w:pStyle w:val="7"/>
        <w:spacing w:line="56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spacing w:line="560" w:lineRule="exact"/>
        <w:ind w:firstLine="640" w:firstLineChars="200"/>
        <w:rPr>
          <w:rFonts w:eastAsia="仿宋_GB2312"/>
          <w:sz w:val="32"/>
          <w:szCs w:val="32"/>
        </w:rPr>
      </w:pPr>
      <w:r>
        <w:rPr>
          <w:rFonts w:eastAsia="仿宋_GB2312"/>
          <w:sz w:val="32"/>
          <w:szCs w:val="32"/>
        </w:rPr>
        <w:t>1.办公运行经费保障不足。帮扶（驻村、教育）、党建、工会福利费、体检费等政策性支出占据相当多的基本运行经费。</w:t>
      </w:r>
    </w:p>
    <w:p>
      <w:pPr>
        <w:spacing w:line="560" w:lineRule="exact"/>
        <w:ind w:firstLine="640" w:firstLineChars="200"/>
        <w:rPr>
          <w:rFonts w:eastAsia="仿宋_GB2312"/>
          <w:sz w:val="32"/>
          <w:szCs w:val="32"/>
        </w:rPr>
      </w:pPr>
      <w:r>
        <w:rPr>
          <w:rFonts w:eastAsia="仿宋_GB2312"/>
          <w:sz w:val="32"/>
          <w:szCs w:val="32"/>
        </w:rPr>
        <w:t>2.预算执行进度有待加强。</w:t>
      </w:r>
    </w:p>
    <w:p>
      <w:pPr>
        <w:spacing w:line="560" w:lineRule="exact"/>
        <w:ind w:firstLine="640" w:firstLineChars="200"/>
        <w:rPr>
          <w:rFonts w:eastAsia="黑体"/>
          <w:sz w:val="32"/>
          <w:szCs w:val="32"/>
        </w:rPr>
      </w:pPr>
      <w:r>
        <w:rPr>
          <w:rFonts w:eastAsia="黑体"/>
          <w:sz w:val="32"/>
          <w:szCs w:val="32"/>
        </w:rPr>
        <w:t>八、下一步改进措施</w:t>
      </w:r>
    </w:p>
    <w:p>
      <w:pPr>
        <w:spacing w:line="560" w:lineRule="exact"/>
        <w:ind w:firstLine="640" w:firstLineChars="200"/>
        <w:rPr>
          <w:rFonts w:eastAsia="仿宋_GB2312"/>
          <w:sz w:val="32"/>
          <w:szCs w:val="32"/>
        </w:rPr>
      </w:pPr>
      <w:r>
        <w:rPr>
          <w:rFonts w:eastAsia="仿宋_GB2312"/>
          <w:sz w:val="32"/>
          <w:szCs w:val="32"/>
        </w:rPr>
        <w:t>合理安排预算支出计划，避免超额支出的情况，加强预算控制，科学编制预算，提高预算精准度。</w:t>
      </w:r>
    </w:p>
    <w:p>
      <w:pPr>
        <w:spacing w:line="560" w:lineRule="exact"/>
        <w:ind w:firstLine="640" w:firstLineChars="200"/>
        <w:rPr>
          <w:rFonts w:eastAsia="黑体"/>
          <w:sz w:val="32"/>
          <w:szCs w:val="32"/>
        </w:rPr>
      </w:pPr>
      <w:r>
        <w:rPr>
          <w:rFonts w:eastAsia="黑体"/>
          <w:sz w:val="32"/>
          <w:szCs w:val="32"/>
        </w:rPr>
        <w:t>九、绩效自评结果拟应用和公开情况</w:t>
      </w:r>
    </w:p>
    <w:p>
      <w:pPr>
        <w:spacing w:line="560" w:lineRule="exact"/>
        <w:ind w:firstLine="640" w:firstLineChars="200"/>
        <w:rPr>
          <w:rFonts w:eastAsia="仿宋_GB2312"/>
          <w:sz w:val="32"/>
          <w:szCs w:val="32"/>
        </w:rPr>
      </w:pPr>
      <w:r>
        <w:rPr>
          <w:rFonts w:hint="eastAsia" w:eastAsia="仿宋_GB2312"/>
          <w:sz w:val="32"/>
          <w:szCs w:val="32"/>
        </w:rPr>
        <w:t>自评结果将运用于来年的预算编制上，并为今后的预算管理提供重要的参考。</w:t>
      </w:r>
      <w:bookmarkStart w:id="0" w:name="_GoBack"/>
      <w:r>
        <w:rPr>
          <w:rFonts w:hint="eastAsia" w:eastAsia="仿宋_GB2312"/>
          <w:sz w:val="32"/>
          <w:szCs w:val="32"/>
        </w:rPr>
        <w:t>本单位无独立网站，绩效自评结果将在芦淞区政府门户网上统一公示公开，接受监督。</w:t>
      </w:r>
    </w:p>
    <w:p>
      <w:pPr>
        <w:spacing w:line="560" w:lineRule="exact"/>
        <w:ind w:firstLine="640" w:firstLineChars="200"/>
        <w:rPr>
          <w:rFonts w:eastAsia="黑体"/>
          <w:sz w:val="32"/>
          <w:szCs w:val="32"/>
        </w:rPr>
      </w:pPr>
      <w:r>
        <w:rPr>
          <w:rFonts w:eastAsia="黑体"/>
          <w:sz w:val="32"/>
          <w:szCs w:val="32"/>
        </w:rPr>
        <w:t>十、其他需要说明的情况</w:t>
      </w:r>
    </w:p>
    <w:bookmarkEnd w:id="0"/>
    <w:p>
      <w:pPr>
        <w:spacing w:line="560" w:lineRule="exact"/>
        <w:ind w:firstLine="640" w:firstLineChars="200"/>
        <w:rPr>
          <w:rFonts w:eastAsia="仿宋_GB2312"/>
          <w:sz w:val="32"/>
          <w:szCs w:val="32"/>
        </w:rPr>
      </w:pPr>
      <w:r>
        <w:rPr>
          <w:rFonts w:eastAsia="仿宋_GB2312"/>
          <w:sz w:val="32"/>
          <w:szCs w:val="32"/>
        </w:rPr>
        <w:t>无。</w:t>
      </w:r>
    </w:p>
    <w:p>
      <w:pPr>
        <w:spacing w:line="560" w:lineRule="exact"/>
        <w:ind w:firstLine="640" w:firstLineChars="200"/>
        <w:rPr>
          <w:rFonts w:eastAsia="仿宋_GB2312"/>
          <w:kern w:val="0"/>
          <w:sz w:val="32"/>
          <w:szCs w:val="32"/>
        </w:rPr>
      </w:pPr>
    </w:p>
    <w:p>
      <w:pPr>
        <w:spacing w:line="560" w:lineRule="exact"/>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AE1FE7"/>
    <w:rsid w:val="00004E70"/>
    <w:rsid w:val="00024EF6"/>
    <w:rsid w:val="0015097E"/>
    <w:rsid w:val="00207FA3"/>
    <w:rsid w:val="0027150A"/>
    <w:rsid w:val="002A46E6"/>
    <w:rsid w:val="004C7D4C"/>
    <w:rsid w:val="004D68B1"/>
    <w:rsid w:val="00537397"/>
    <w:rsid w:val="00567A1D"/>
    <w:rsid w:val="005A433C"/>
    <w:rsid w:val="005E37A4"/>
    <w:rsid w:val="006F54E0"/>
    <w:rsid w:val="00744CF7"/>
    <w:rsid w:val="008A1742"/>
    <w:rsid w:val="008A741C"/>
    <w:rsid w:val="008C62A7"/>
    <w:rsid w:val="009973C1"/>
    <w:rsid w:val="00A04838"/>
    <w:rsid w:val="00A51771"/>
    <w:rsid w:val="00A56C8A"/>
    <w:rsid w:val="00AC6175"/>
    <w:rsid w:val="00AE1FE7"/>
    <w:rsid w:val="00CE6B79"/>
    <w:rsid w:val="00D32642"/>
    <w:rsid w:val="00D5092F"/>
    <w:rsid w:val="00D8245E"/>
    <w:rsid w:val="00E05F30"/>
    <w:rsid w:val="00E263D3"/>
    <w:rsid w:val="00E267AE"/>
    <w:rsid w:val="00E37A44"/>
    <w:rsid w:val="00E55161"/>
    <w:rsid w:val="00F826DF"/>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5C06ED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B873C3"/>
    <w:rsid w:val="10593E88"/>
    <w:rsid w:val="10C17504"/>
    <w:rsid w:val="10F06DED"/>
    <w:rsid w:val="11107299"/>
    <w:rsid w:val="1134034B"/>
    <w:rsid w:val="115176A2"/>
    <w:rsid w:val="129D6027"/>
    <w:rsid w:val="13124332"/>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C9B06FA"/>
    <w:rsid w:val="1D271A66"/>
    <w:rsid w:val="1DCB47DF"/>
    <w:rsid w:val="1E601115"/>
    <w:rsid w:val="1EB03217"/>
    <w:rsid w:val="1F000FB0"/>
    <w:rsid w:val="1F111AD7"/>
    <w:rsid w:val="1F5A1E7F"/>
    <w:rsid w:val="1FA707DF"/>
    <w:rsid w:val="1FFE7B8C"/>
    <w:rsid w:val="203C025A"/>
    <w:rsid w:val="20775CA3"/>
    <w:rsid w:val="217A1AB1"/>
    <w:rsid w:val="21F151EE"/>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1B14F5E"/>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4F67FB"/>
    <w:rsid w:val="4EE91176"/>
    <w:rsid w:val="4EF96755"/>
    <w:rsid w:val="4EFF6E71"/>
    <w:rsid w:val="4F7317CB"/>
    <w:rsid w:val="4F7C135A"/>
    <w:rsid w:val="4FC01EDA"/>
    <w:rsid w:val="50281CF3"/>
    <w:rsid w:val="509154B6"/>
    <w:rsid w:val="50BB4683"/>
    <w:rsid w:val="50EC10F9"/>
    <w:rsid w:val="5177797E"/>
    <w:rsid w:val="51CA0FED"/>
    <w:rsid w:val="52F6075F"/>
    <w:rsid w:val="53086FF5"/>
    <w:rsid w:val="534D0228"/>
    <w:rsid w:val="53AB142E"/>
    <w:rsid w:val="54207C51"/>
    <w:rsid w:val="54DA727F"/>
    <w:rsid w:val="54E65F5A"/>
    <w:rsid w:val="5524470C"/>
    <w:rsid w:val="555C0CA7"/>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80631C"/>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82C5A"/>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314B8A"/>
    <w:rsid w:val="765D45B4"/>
    <w:rsid w:val="76735213"/>
    <w:rsid w:val="7708603C"/>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iPriority="0" w:semiHidden="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0"/>
    <w:pPr>
      <w:ind w:left="1680"/>
    </w:p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99"/>
    <w:pPr>
      <w:ind w:firstLine="420" w:firstLineChars="200"/>
    </w:pPr>
    <w:rPr>
      <w:rFonts w:ascii="Calibri" w:hAnsi="Calibri"/>
      <w:szCs w:val="22"/>
    </w:rPr>
  </w:style>
  <w:style w:type="character" w:customStyle="1" w:styleId="8">
    <w:name w:val="页眉 Char"/>
    <w:basedOn w:val="6"/>
    <w:link w:val="4"/>
    <w:qFormat/>
    <w:uiPriority w:val="0"/>
    <w:rPr>
      <w:rFonts w:ascii="Times New Roman" w:hAnsi="Times New Roman" w:eastAsia="宋体" w:cs="Times New Roman"/>
      <w:kern w:val="2"/>
      <w:sz w:val="18"/>
      <w:szCs w:val="18"/>
    </w:rPr>
  </w:style>
  <w:style w:type="character" w:customStyle="1" w:styleId="9">
    <w:name w:val="页脚 Char"/>
    <w:basedOn w:val="6"/>
    <w:link w:val="3"/>
    <w:qFormat/>
    <w:uiPriority w:val="0"/>
    <w:rPr>
      <w:rFonts w:ascii="Times New Roman" w:hAnsi="Times New Roman" w:eastAsia="宋体" w:cs="Times New Roman"/>
      <w:kern w:val="2"/>
      <w:sz w:val="18"/>
      <w:szCs w:val="18"/>
    </w:rPr>
  </w:style>
  <w:style w:type="paragraph" w:customStyle="1" w:styleId="10">
    <w:name w:val="Defaul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2176</Words>
  <Characters>2386</Characters>
  <Lines>17</Lines>
  <Paragraphs>4</Paragraphs>
  <TotalTime>14</TotalTime>
  <ScaleCrop>false</ScaleCrop>
  <LinksUpToDate>false</LinksUpToDate>
  <CharactersWithSpaces>2388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2023-10-31T08:05:43Z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46B1E17AE7754E13BA78DBD53DD7830E</vt:lpwstr>
  </property>
</Properties>
</file>