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202</w:t>
      </w:r>
      <w:r>
        <w:rPr>
          <w:rFonts w:hint="eastAsia" w:eastAsia="方正小标宋简体" w:cs="Times New Roman"/>
          <w:sz w:val="44"/>
          <w:szCs w:val="44"/>
          <w:highlight w:val="none"/>
          <w:lang w:val="en-US" w:eastAsia="zh-CN"/>
        </w:rPr>
        <w:t>2</w:t>
      </w:r>
      <w:r>
        <w:rPr>
          <w:rFonts w:hint="default" w:ascii="Times New Roman" w:hAnsi="Times New Roman" w:eastAsia="方正小标宋简体" w:cs="Times New Roman"/>
          <w:sz w:val="44"/>
          <w:szCs w:val="44"/>
          <w:highlight w:val="none"/>
          <w:lang w:val="en-US" w:eastAsia="zh-CN"/>
        </w:rPr>
        <w:t>年度株洲市芦淞区政府金融工作办公室整体支出绩效自评报告</w:t>
      </w: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880" w:firstLineChars="200"/>
        <w:jc w:val="center"/>
        <w:textAlignment w:val="auto"/>
        <w:rPr>
          <w:rFonts w:hint="default" w:ascii="Times New Roman" w:hAnsi="Times New Roman" w:eastAsia="黑体" w:cs="Times New Roman"/>
          <w:sz w:val="44"/>
          <w:szCs w:val="44"/>
          <w:highlight w:val="none"/>
        </w:rPr>
      </w:pPr>
    </w:p>
    <w:p>
      <w:pPr>
        <w:keepNext w:val="0"/>
        <w:keepLines w:val="0"/>
        <w:pageBreakBefore w:val="0"/>
        <w:widowControl w:val="0"/>
        <w:kinsoku/>
        <w:wordWrap/>
        <w:overflowPunct/>
        <w:topLinePunct w:val="0"/>
        <w:bidi w:val="0"/>
        <w:snapToGrid/>
        <w:spacing w:line="560" w:lineRule="exact"/>
        <w:ind w:leftChars="0" w:firstLine="880" w:firstLineChars="200"/>
        <w:jc w:val="center"/>
        <w:textAlignment w:val="auto"/>
        <w:rPr>
          <w:rFonts w:hint="default" w:ascii="Times New Roman" w:hAnsi="Times New Roman" w:eastAsia="黑体" w:cs="Times New Roman"/>
          <w:sz w:val="44"/>
          <w:szCs w:val="44"/>
          <w:highlight w:val="none"/>
        </w:rPr>
      </w:pPr>
    </w:p>
    <w:p>
      <w:pPr>
        <w:keepNext w:val="0"/>
        <w:keepLines w:val="0"/>
        <w:pageBreakBefore w:val="0"/>
        <w:widowControl w:val="0"/>
        <w:kinsoku/>
        <w:wordWrap/>
        <w:overflowPunct/>
        <w:topLinePunct w:val="0"/>
        <w:bidi w:val="0"/>
        <w:snapToGrid/>
        <w:spacing w:line="560" w:lineRule="exact"/>
        <w:ind w:leftChars="0" w:firstLine="880" w:firstLineChars="200"/>
        <w:jc w:val="center"/>
        <w:textAlignment w:val="auto"/>
        <w:rPr>
          <w:rFonts w:hint="default" w:ascii="Times New Roman" w:hAnsi="Times New Roman" w:eastAsia="黑体" w:cs="Times New Roman"/>
          <w:sz w:val="44"/>
          <w:szCs w:val="44"/>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left"/>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left"/>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left"/>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lef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一、基本情况</w:t>
      </w:r>
    </w:p>
    <w:p>
      <w:pPr>
        <w:keepNext w:val="0"/>
        <w:keepLines w:val="0"/>
        <w:pageBreakBefore w:val="0"/>
        <w:widowControl w:val="0"/>
        <w:numPr>
          <w:ilvl w:val="0"/>
          <w:numId w:val="1"/>
        </w:numPr>
        <w:kinsoku/>
        <w:wordWrap/>
        <w:overflowPunct/>
        <w:topLinePunct w:val="0"/>
        <w:bidi w:val="0"/>
        <w:snapToGrid/>
        <w:spacing w:line="560" w:lineRule="exact"/>
        <w:ind w:leftChars="0" w:firstLine="643" w:firstLineChars="200"/>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单位基本情况</w:t>
      </w:r>
    </w:p>
    <w:p>
      <w:pPr>
        <w:keepNext w:val="0"/>
        <w:keepLines w:val="0"/>
        <w:pageBreakBefore w:val="0"/>
        <w:widowControl w:val="0"/>
        <w:kinsoku/>
        <w:wordWrap/>
        <w:overflowPunct/>
        <w:topLinePunct w:val="0"/>
        <w:bidi w:val="0"/>
        <w:snapToGrid/>
        <w:spacing w:line="560" w:lineRule="exact"/>
        <w:ind w:leftChars="0" w:firstLine="640" w:firstLineChars="200"/>
        <w:jc w:val="left"/>
        <w:textAlignment w:val="auto"/>
        <w:rPr>
          <w:rFonts w:hint="default" w:ascii="Times New Roman" w:hAnsi="Times New Roman" w:eastAsia="楷体_GB2312" w:cs="Times New Roman"/>
          <w:b/>
          <w:sz w:val="32"/>
          <w:szCs w:val="32"/>
          <w:highlight w:val="none"/>
        </w:rPr>
      </w:pPr>
      <w:r>
        <w:rPr>
          <w:rFonts w:hint="default" w:ascii="Times New Roman" w:hAnsi="Times New Roman" w:eastAsia="仿宋_GB2312" w:cs="Times New Roman"/>
          <w:color w:val="000000"/>
          <w:kern w:val="0"/>
          <w:sz w:val="32"/>
          <w:szCs w:val="32"/>
          <w:highlight w:val="none"/>
        </w:rPr>
        <w:t>株洲市芦淞区政府金融工作办公室是区人民政府主管正科级行政机关，现有股室3个，在职人员</w:t>
      </w:r>
      <w:r>
        <w:rPr>
          <w:rFonts w:hint="default" w:ascii="Times New Roman" w:hAnsi="Times New Roman" w:eastAsia="仿宋_GB2312" w:cs="Times New Roman"/>
          <w:color w:val="000000"/>
          <w:kern w:val="0"/>
          <w:sz w:val="32"/>
          <w:szCs w:val="32"/>
          <w:highlight w:val="none"/>
          <w:lang w:val="en-US" w:eastAsia="zh-CN"/>
        </w:rPr>
        <w:t>6</w:t>
      </w:r>
      <w:r>
        <w:rPr>
          <w:rFonts w:hint="default" w:ascii="Times New Roman" w:hAnsi="Times New Roman" w:eastAsia="仿宋_GB2312" w:cs="Times New Roman"/>
          <w:color w:val="000000"/>
          <w:kern w:val="0"/>
          <w:sz w:val="32"/>
          <w:szCs w:val="32"/>
          <w:highlight w:val="none"/>
        </w:rPr>
        <w:t>人，其中在编人员6人，属区一级预算单位。</w:t>
      </w:r>
    </w:p>
    <w:p>
      <w:pPr>
        <w:keepNext w:val="0"/>
        <w:keepLines w:val="0"/>
        <w:pageBreakBefore w:val="0"/>
        <w:widowControl w:val="0"/>
        <w:numPr>
          <w:ilvl w:val="0"/>
          <w:numId w:val="1"/>
        </w:numPr>
        <w:kinsoku/>
        <w:wordWrap/>
        <w:overflowPunct/>
        <w:topLinePunct w:val="0"/>
        <w:bidi w:val="0"/>
        <w:snapToGrid/>
        <w:spacing w:line="560" w:lineRule="exact"/>
        <w:ind w:left="0" w:leftChars="0" w:firstLine="643" w:firstLineChars="200"/>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单位年度整体支出绩效目标，</w:t>
      </w:r>
      <w:r>
        <w:rPr>
          <w:rFonts w:hint="default" w:ascii="Times New Roman" w:hAnsi="Times New Roman" w:eastAsia="楷体_GB2312" w:cs="Times New Roman"/>
          <w:b/>
          <w:sz w:val="32"/>
          <w:szCs w:val="32"/>
          <w:highlight w:val="none"/>
          <w:lang w:eastAsia="zh-CN"/>
        </w:rPr>
        <w:t>部门</w:t>
      </w:r>
      <w:r>
        <w:rPr>
          <w:rFonts w:hint="default" w:ascii="Times New Roman" w:hAnsi="Times New Roman" w:eastAsia="楷体_GB2312" w:cs="Times New Roman"/>
          <w:b/>
          <w:sz w:val="32"/>
          <w:szCs w:val="32"/>
          <w:highlight w:val="none"/>
        </w:rPr>
        <w:t>专项资金绩效目标、其他项目支出（除省级专项资金以外）绩效目标</w:t>
      </w:r>
    </w:p>
    <w:p>
      <w:pPr>
        <w:keepNext w:val="0"/>
        <w:keepLines w:val="0"/>
        <w:pageBreakBefore w:val="0"/>
        <w:widowControl w:val="0"/>
        <w:numPr>
          <w:ilvl w:val="0"/>
          <w:numId w:val="0"/>
        </w:numPr>
        <w:kinsoku/>
        <w:wordWrap/>
        <w:overflowPunct/>
        <w:topLinePunct w:val="0"/>
        <w:bidi w:val="0"/>
        <w:snapToGri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lang w:val="en-US" w:eastAsia="zh-CN"/>
        </w:rPr>
        <w:t>1、</w:t>
      </w:r>
      <w:r>
        <w:rPr>
          <w:rFonts w:hint="default" w:ascii="Times New Roman" w:hAnsi="Times New Roman" w:eastAsia="仿宋_GB2312" w:cs="Times New Roman"/>
          <w:color w:val="000000"/>
          <w:kern w:val="0"/>
          <w:sz w:val="32"/>
          <w:szCs w:val="32"/>
          <w:highlight w:val="none"/>
          <w:lang w:eastAsia="zh-CN"/>
        </w:rPr>
        <w:t>加强对辖区担保和小贷公司的日常监管，定期分析评价企业上报的业务和财务报表，切实避免金融风险；</w:t>
      </w:r>
    </w:p>
    <w:p>
      <w:pPr>
        <w:keepNext w:val="0"/>
        <w:keepLines w:val="0"/>
        <w:pageBreakBefore w:val="0"/>
        <w:widowControl w:val="0"/>
        <w:numPr>
          <w:ilvl w:val="0"/>
          <w:numId w:val="0"/>
        </w:numPr>
        <w:kinsoku/>
        <w:wordWrap/>
        <w:overflowPunct/>
        <w:topLinePunct w:val="0"/>
        <w:bidi w:val="0"/>
        <w:snapToGri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lang w:eastAsia="zh-CN"/>
        </w:rPr>
        <w:t>及时落实金融企业优惠政策，切实减轻企业负担；加快建立中小微企业风险补偿基金，充分发挥财政资金引导、支持作用，解决中小微企业融资难问题；组织召开银企对接会、洽谈会等活动，搭建银信机构与企业沟通“桥梁”。</w:t>
      </w:r>
    </w:p>
    <w:p>
      <w:pPr>
        <w:keepNext w:val="0"/>
        <w:keepLines w:val="0"/>
        <w:pageBreakBefore w:val="0"/>
        <w:widowControl w:val="0"/>
        <w:numPr>
          <w:ilvl w:val="0"/>
          <w:numId w:val="0"/>
        </w:numPr>
        <w:kinsoku/>
        <w:wordWrap/>
        <w:overflowPunct/>
        <w:topLinePunct w:val="0"/>
        <w:bidi w:val="0"/>
        <w:snapToGri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lang w:val="en-US" w:eastAsia="zh-CN"/>
        </w:rPr>
        <w:t>3、</w:t>
      </w:r>
      <w:r>
        <w:rPr>
          <w:rFonts w:hint="default" w:ascii="Times New Roman" w:hAnsi="Times New Roman" w:eastAsia="仿宋_GB2312" w:cs="Times New Roman"/>
          <w:color w:val="000000"/>
          <w:kern w:val="0"/>
          <w:sz w:val="32"/>
          <w:szCs w:val="32"/>
          <w:highlight w:val="none"/>
          <w:lang w:eastAsia="zh-CN"/>
        </w:rPr>
        <w:t>做好省资本市场县域工程试点工作，推动企业上市挂牌；</w:t>
      </w:r>
    </w:p>
    <w:p>
      <w:pPr>
        <w:keepNext w:val="0"/>
        <w:keepLines w:val="0"/>
        <w:pageBreakBefore w:val="0"/>
        <w:widowControl w:val="0"/>
        <w:numPr>
          <w:ilvl w:val="0"/>
          <w:numId w:val="0"/>
        </w:numPr>
        <w:kinsoku/>
        <w:wordWrap/>
        <w:overflowPunct/>
        <w:topLinePunct w:val="0"/>
        <w:bidi w:val="0"/>
        <w:snapToGrid/>
        <w:spacing w:line="560" w:lineRule="exact"/>
        <w:ind w:leftChars="0" w:firstLine="640" w:firstLineChars="200"/>
        <w:jc w:val="left"/>
        <w:textAlignment w:val="auto"/>
        <w:rPr>
          <w:rFonts w:hint="default" w:ascii="Times New Roman" w:hAnsi="Times New Roman" w:eastAsia="楷体_GB2312" w:cs="Times New Roman"/>
          <w:b/>
          <w:sz w:val="32"/>
          <w:szCs w:val="32"/>
          <w:highlight w:val="none"/>
          <w:lang w:eastAsia="zh-CN"/>
        </w:rPr>
      </w:pPr>
      <w:r>
        <w:rPr>
          <w:rFonts w:hint="default" w:ascii="Times New Roman" w:hAnsi="Times New Roman" w:eastAsia="仿宋_GB2312" w:cs="Times New Roman"/>
          <w:color w:val="000000"/>
          <w:kern w:val="0"/>
          <w:sz w:val="32"/>
          <w:szCs w:val="32"/>
          <w:highlight w:val="none"/>
          <w:lang w:val="en-US" w:eastAsia="zh-CN"/>
        </w:rPr>
        <w:t>4、</w:t>
      </w:r>
      <w:r>
        <w:rPr>
          <w:rFonts w:hint="default" w:ascii="Times New Roman" w:hAnsi="Times New Roman" w:eastAsia="仿宋_GB2312" w:cs="Times New Roman"/>
          <w:color w:val="000000"/>
          <w:kern w:val="0"/>
          <w:sz w:val="32"/>
          <w:szCs w:val="32"/>
          <w:highlight w:val="none"/>
          <w:lang w:eastAsia="zh-CN"/>
        </w:rPr>
        <w:t>强化宣传教育，开展专项整治，全力遏制非法集资犯罪活动，促进全区金融市场依法、规范、有序运作；积极化解民间金融中心风险，全力做好中心投资人思想疏导和稳控工作。</w:t>
      </w:r>
    </w:p>
    <w:p>
      <w:pPr>
        <w:pStyle w:val="4"/>
        <w:keepNext w:val="0"/>
        <w:keepLines w:val="0"/>
        <w:pageBreakBefore w:val="0"/>
        <w:widowControl w:val="0"/>
        <w:kinsoku/>
        <w:wordWrap/>
        <w:overflowPunct/>
        <w:topLinePunct w:val="0"/>
        <w:bidi w:val="0"/>
        <w:snapToGrid/>
        <w:spacing w:line="560" w:lineRule="exact"/>
        <w:ind w:lef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4"/>
        <w:keepNext w:val="0"/>
        <w:keepLines w:val="0"/>
        <w:pageBreakBefore w:val="0"/>
        <w:widowControl w:val="0"/>
        <w:kinsoku/>
        <w:wordWrap/>
        <w:overflowPunct/>
        <w:topLinePunct w:val="0"/>
        <w:bidi w:val="0"/>
        <w:snapToGrid/>
        <w:spacing w:line="560" w:lineRule="exact"/>
        <w:ind w:leftChars="0" w:firstLine="643" w:firstLineChars="200"/>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4"/>
        <w:keepNext w:val="0"/>
        <w:keepLines w:val="0"/>
        <w:pageBreakBefore w:val="0"/>
        <w:widowControl w:val="0"/>
        <w:kinsoku/>
        <w:wordWrap/>
        <w:overflowPunct/>
        <w:topLinePunct w:val="0"/>
        <w:bidi w:val="0"/>
        <w:snapToGrid/>
        <w:spacing w:line="560" w:lineRule="exact"/>
        <w:ind w:leftChars="0" w:firstLine="640" w:firstLineChars="200"/>
        <w:textAlignment w:val="auto"/>
        <w:rPr>
          <w:rFonts w:hint="default" w:ascii="Times New Roman" w:hAnsi="Times New Roman" w:eastAsia="仿宋" w:cs="Times New Roman"/>
          <w:color w:val="000000"/>
          <w:sz w:val="32"/>
          <w:szCs w:val="32"/>
          <w:highlight w:val="none"/>
          <w:lang w:eastAsia="zh-CN"/>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eastAsia="zh-CN"/>
        </w:rPr>
        <w:t>20</w:t>
      </w:r>
      <w:r>
        <w:rPr>
          <w:rFonts w:hint="default" w:ascii="Times New Roman" w:hAnsi="Times New Roman" w:eastAsia="仿宋" w:cs="Times New Roman"/>
          <w:color w:val="000000"/>
          <w:sz w:val="32"/>
          <w:szCs w:val="32"/>
          <w:highlight w:val="none"/>
          <w:lang w:eastAsia="zh-CN"/>
        </w:rPr>
        <w:t>2</w:t>
      </w:r>
      <w:r>
        <w:rPr>
          <w:rFonts w:hint="eastAsia" w:ascii="Times New Roman" w:hAnsi="Times New Roman" w:eastAsia="仿宋" w:cs="Times New Roman"/>
          <w:color w:val="000000"/>
          <w:sz w:val="32"/>
          <w:szCs w:val="32"/>
          <w:highlight w:val="none"/>
          <w:lang w:val="en-US" w:eastAsia="zh-CN"/>
        </w:rPr>
        <w:t>2</w:t>
      </w:r>
      <w:r>
        <w:rPr>
          <w:rFonts w:hint="default" w:ascii="Times New Roman" w:hAnsi="Times New Roman" w:eastAsia="仿宋" w:cs="Times New Roman"/>
          <w:color w:val="000000"/>
          <w:sz w:val="32"/>
          <w:szCs w:val="32"/>
          <w:highlight w:val="none"/>
        </w:rPr>
        <w:t>年预算资金112.11</w:t>
      </w:r>
      <w:r>
        <w:rPr>
          <w:rFonts w:hint="default" w:ascii="Times New Roman" w:hAnsi="Times New Roman" w:eastAsia="仿宋" w:cs="Times New Roman"/>
          <w:color w:val="000000"/>
          <w:sz w:val="32"/>
          <w:szCs w:val="32"/>
          <w:highlight w:val="none"/>
          <w:lang w:eastAsia="zh-CN"/>
        </w:rPr>
        <w:t>万元。</w:t>
      </w:r>
    </w:p>
    <w:p>
      <w:pPr>
        <w:pStyle w:val="4"/>
        <w:keepNext w:val="0"/>
        <w:keepLines w:val="0"/>
        <w:pageBreakBefore w:val="0"/>
        <w:widowControl w:val="0"/>
        <w:kinsoku/>
        <w:wordWrap/>
        <w:overflowPunct/>
        <w:topLinePunct w:val="0"/>
        <w:bidi w:val="0"/>
        <w:snapToGrid/>
        <w:spacing w:line="560" w:lineRule="exact"/>
        <w:ind w:leftChars="0"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2、202</w:t>
      </w:r>
      <w:r>
        <w:rPr>
          <w:rFonts w:hint="eastAsia"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年度</w:t>
      </w:r>
      <w:r>
        <w:rPr>
          <w:rFonts w:hint="default" w:ascii="Times New Roman" w:hAnsi="Times New Roman" w:eastAsia="仿宋" w:cs="Times New Roman"/>
          <w:color w:val="auto"/>
          <w:sz w:val="32"/>
          <w:szCs w:val="32"/>
          <w:highlight w:val="none"/>
        </w:rPr>
        <w:t>单位一般公共预算财政拨款收入</w:t>
      </w:r>
      <w:r>
        <w:rPr>
          <w:rFonts w:hint="default" w:ascii="Times New Roman" w:hAnsi="Times New Roman" w:cs="Times New Roman" w:eastAsiaTheme="minorEastAsia"/>
          <w:sz w:val="32"/>
          <w:szCs w:val="32"/>
          <w:highlight w:val="none"/>
        </w:rPr>
        <w:t>109.88</w:t>
      </w:r>
      <w:r>
        <w:rPr>
          <w:rFonts w:hint="default" w:ascii="Times New Roman" w:hAnsi="Times New Roman" w:eastAsia="仿宋" w:cs="Times New Roman"/>
          <w:color w:val="auto"/>
          <w:sz w:val="32"/>
          <w:szCs w:val="32"/>
          <w:highlight w:val="none"/>
          <w:lang w:eastAsia="zh-CN"/>
        </w:rPr>
        <w:t>万元。</w:t>
      </w:r>
    </w:p>
    <w:p>
      <w:pPr>
        <w:keepNext w:val="0"/>
        <w:keepLines w:val="0"/>
        <w:pageBreakBefore w:val="0"/>
        <w:widowControl w:val="0"/>
        <w:kinsoku/>
        <w:wordWrap/>
        <w:overflowPunct/>
        <w:topLinePunct w:val="0"/>
        <w:bidi w:val="0"/>
        <w:snapToGrid/>
        <w:spacing w:line="560" w:lineRule="exact"/>
        <w:ind w:leftChars="0" w:firstLine="640" w:firstLineChars="200"/>
        <w:textAlignment w:val="auto"/>
        <w:rPr>
          <w:rFonts w:hint="default" w:ascii="Times New Roman" w:hAnsi="Times New Roman" w:eastAsia="仿宋" w:cs="Times New Roman"/>
          <w:color w:val="0000FF"/>
          <w:sz w:val="32"/>
          <w:szCs w:val="32"/>
          <w:highlight w:val="none"/>
          <w:lang w:val="en-US" w:eastAsia="zh-CN"/>
        </w:rPr>
      </w:pPr>
      <w:r>
        <w:rPr>
          <w:rFonts w:hint="default" w:ascii="Times New Roman" w:hAnsi="Times New Roman" w:eastAsia="仿宋" w:cs="Times New Roman"/>
          <w:color w:val="auto"/>
          <w:sz w:val="32"/>
          <w:szCs w:val="32"/>
          <w:highlight w:val="none"/>
        </w:rPr>
        <w:t>3</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202</w:t>
      </w:r>
      <w:r>
        <w:rPr>
          <w:rFonts w:hint="eastAsia"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年度</w:t>
      </w:r>
      <w:r>
        <w:rPr>
          <w:rFonts w:hint="default" w:ascii="Times New Roman" w:hAnsi="Times New Roman" w:eastAsia="仿宋" w:cs="Times New Roman"/>
          <w:color w:val="auto"/>
          <w:sz w:val="32"/>
          <w:szCs w:val="32"/>
          <w:highlight w:val="none"/>
        </w:rPr>
        <w:t>单位一般公共预算财政拨款</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cs="Times New Roman" w:eastAsiaTheme="minorEastAsia"/>
          <w:sz w:val="32"/>
          <w:szCs w:val="32"/>
          <w:highlight w:val="none"/>
        </w:rPr>
        <w:t>109.88</w:t>
      </w:r>
      <w:r>
        <w:rPr>
          <w:rFonts w:hint="default" w:ascii="Times New Roman" w:hAnsi="Times New Roman" w:eastAsia="仿宋" w:cs="Times New Roman"/>
          <w:color w:val="auto"/>
          <w:sz w:val="32"/>
          <w:szCs w:val="32"/>
          <w:highlight w:val="none"/>
          <w:lang w:eastAsia="zh-CN"/>
        </w:rPr>
        <w:t>万元。</w:t>
      </w:r>
      <w:r>
        <w:rPr>
          <w:rFonts w:hint="default" w:ascii="Times New Roman" w:hAnsi="Times New Roman" w:eastAsia="仿宋" w:cs="Times New Roman"/>
          <w:color w:val="auto"/>
          <w:sz w:val="32"/>
          <w:szCs w:val="32"/>
          <w:highlight w:val="none"/>
        </w:rPr>
        <w:t>其中：项目支出</w:t>
      </w:r>
      <w:r>
        <w:rPr>
          <w:rFonts w:hint="default" w:ascii="Times New Roman" w:hAnsi="Times New Roman" w:cs="Times New Roman" w:eastAsiaTheme="minorEastAsia"/>
          <w:sz w:val="32"/>
          <w:szCs w:val="32"/>
          <w:highlight w:val="none"/>
        </w:rPr>
        <w:t>5.10</w:t>
      </w:r>
      <w:r>
        <w:rPr>
          <w:rFonts w:hint="default" w:ascii="Times New Roman" w:hAnsi="Times New Roman" w:eastAsia="仿宋" w:cs="Times New Roman"/>
          <w:color w:val="auto"/>
          <w:sz w:val="32"/>
          <w:szCs w:val="32"/>
          <w:highlight w:val="none"/>
        </w:rPr>
        <w:t>万元，基本支出</w:t>
      </w:r>
      <w:r>
        <w:rPr>
          <w:rFonts w:hint="default" w:ascii="Times New Roman" w:hAnsi="Times New Roman" w:cs="Times New Roman" w:eastAsiaTheme="minorEastAsia"/>
          <w:sz w:val="32"/>
          <w:szCs w:val="32"/>
          <w:highlight w:val="none"/>
        </w:rPr>
        <w:t>104.78</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其中：人员经费</w:t>
      </w:r>
      <w:r>
        <w:rPr>
          <w:rFonts w:hint="default" w:ascii="Times New Roman" w:hAnsi="Times New Roman" w:cs="Times New Roman" w:eastAsiaTheme="minorEastAsia"/>
          <w:sz w:val="32"/>
          <w:szCs w:val="32"/>
          <w:highlight w:val="none"/>
          <w:lang w:val="en-US" w:eastAsia="zh-CN"/>
        </w:rPr>
        <w:t>91.77</w:t>
      </w:r>
      <w:r>
        <w:rPr>
          <w:rFonts w:hint="default" w:ascii="Times New Roman" w:hAnsi="Times New Roman" w:eastAsia="仿宋" w:cs="Times New Roman"/>
          <w:color w:val="auto"/>
          <w:sz w:val="32"/>
          <w:szCs w:val="32"/>
          <w:highlight w:val="none"/>
        </w:rPr>
        <w:t>万元，公用经费</w:t>
      </w:r>
      <w:r>
        <w:rPr>
          <w:rFonts w:hint="default" w:ascii="Times New Roman" w:hAnsi="Times New Roman" w:cs="Times New Roman" w:eastAsiaTheme="minorEastAsia"/>
          <w:sz w:val="32"/>
          <w:szCs w:val="32"/>
          <w:highlight w:val="none"/>
          <w:lang w:val="en-US" w:eastAsia="zh-CN"/>
        </w:rPr>
        <w:t>13.01</w:t>
      </w:r>
      <w:r>
        <w:rPr>
          <w:rFonts w:hint="default" w:ascii="Times New Roman" w:hAnsi="Times New Roman" w:eastAsia="仿宋" w:cs="Times New Roman"/>
          <w:color w:val="auto"/>
          <w:sz w:val="32"/>
          <w:szCs w:val="32"/>
          <w:highlight w:val="none"/>
          <w:lang w:val="en-US" w:eastAsia="zh-CN"/>
        </w:rPr>
        <w:t>万</w:t>
      </w:r>
      <w:r>
        <w:rPr>
          <w:rFonts w:hint="default" w:ascii="Times New Roman" w:hAnsi="Times New Roman" w:eastAsia="仿宋" w:cs="Times New Roman"/>
          <w:color w:val="auto"/>
          <w:sz w:val="32"/>
          <w:szCs w:val="32"/>
          <w:highlight w:val="none"/>
        </w:rPr>
        <w:t>元</w:t>
      </w:r>
      <w:r>
        <w:rPr>
          <w:rFonts w:hint="default" w:ascii="Times New Roman" w:hAnsi="Times New Roman" w:eastAsia="仿宋" w:cs="Times New Roman"/>
          <w:color w:val="auto"/>
          <w:sz w:val="32"/>
          <w:szCs w:val="32"/>
          <w:highlight w:val="none"/>
          <w:lang w:eastAsia="zh-CN"/>
        </w:rPr>
        <w:t>。</w:t>
      </w:r>
    </w:p>
    <w:p>
      <w:pPr>
        <w:pStyle w:val="4"/>
        <w:keepNext w:val="0"/>
        <w:keepLines w:val="0"/>
        <w:pageBreakBefore w:val="0"/>
        <w:widowControl w:val="0"/>
        <w:numPr>
          <w:ilvl w:val="0"/>
          <w:numId w:val="2"/>
        </w:numPr>
        <w:kinsoku/>
        <w:wordWrap/>
        <w:overflowPunct/>
        <w:topLinePunct w:val="0"/>
        <w:bidi w:val="0"/>
        <w:snapToGrid/>
        <w:spacing w:line="560" w:lineRule="exact"/>
        <w:ind w:leftChars="0" w:firstLine="643" w:firstLineChars="200"/>
        <w:textAlignment w:val="auto"/>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项目支出情况</w:t>
      </w:r>
    </w:p>
    <w:p>
      <w:pPr>
        <w:pStyle w:val="4"/>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处非和金融监管专项</w:t>
      </w:r>
      <w:r>
        <w:rPr>
          <w:rFonts w:hint="default" w:ascii="Times New Roman" w:hAnsi="Times New Roman" w:eastAsia="仿宋" w:cs="Times New Roman"/>
          <w:color w:val="auto"/>
          <w:kern w:val="2"/>
          <w:sz w:val="32"/>
          <w:szCs w:val="32"/>
          <w:highlight w:val="none"/>
          <w:lang w:val="en-US" w:eastAsia="zh-CN" w:bidi="ar-SA"/>
        </w:rPr>
        <w:t>项目支出</w:t>
      </w:r>
      <w:r>
        <w:rPr>
          <w:rFonts w:hint="default" w:ascii="Times New Roman" w:hAnsi="Times New Roman" w:cs="Times New Roman" w:eastAsiaTheme="minorEastAsia"/>
          <w:sz w:val="32"/>
          <w:szCs w:val="32"/>
          <w:highlight w:val="none"/>
        </w:rPr>
        <w:t>5.10</w:t>
      </w:r>
      <w:r>
        <w:rPr>
          <w:rFonts w:hint="default" w:ascii="Times New Roman" w:hAnsi="Times New Roman" w:eastAsia="仿宋" w:cs="Times New Roman"/>
          <w:color w:val="auto"/>
          <w:kern w:val="2"/>
          <w:sz w:val="32"/>
          <w:szCs w:val="32"/>
          <w:highlight w:val="none"/>
          <w:lang w:val="en-US" w:eastAsia="zh-CN" w:bidi="ar-SA"/>
        </w:rPr>
        <w:t>万元，用于开展打击和处置非法集资宣传，开展金融企业检查。</w:t>
      </w:r>
    </w:p>
    <w:p>
      <w:pPr>
        <w:pStyle w:val="4"/>
        <w:keepNext w:val="0"/>
        <w:keepLines w:val="0"/>
        <w:pageBreakBefore w:val="0"/>
        <w:widowControl w:val="0"/>
        <w:numPr>
          <w:ilvl w:val="0"/>
          <w:numId w:val="0"/>
        </w:numPr>
        <w:kinsoku/>
        <w:wordWrap/>
        <w:overflowPunct/>
        <w:topLinePunct w:val="0"/>
        <w:bidi w:val="0"/>
        <w:snapToGrid/>
        <w:spacing w:line="560" w:lineRule="exact"/>
        <w:ind w:leftChars="0"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三、政府性基金预算支出情况</w:t>
      </w:r>
    </w:p>
    <w:p>
      <w:pPr>
        <w:pStyle w:val="5"/>
        <w:keepNext w:val="0"/>
        <w:keepLines w:val="0"/>
        <w:pageBreakBefore w:val="0"/>
        <w:widowControl w:val="0"/>
        <w:kinsoku/>
        <w:wordWrap/>
        <w:overflowPunct/>
        <w:topLinePunct w:val="0"/>
        <w:bidi w:val="0"/>
        <w:snapToGrid/>
        <w:spacing w:line="560" w:lineRule="exact"/>
        <w:ind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无。</w:t>
      </w:r>
    </w:p>
    <w:p>
      <w:pPr>
        <w:pStyle w:val="4"/>
        <w:keepNext w:val="0"/>
        <w:keepLines w:val="0"/>
        <w:pageBreakBefore w:val="0"/>
        <w:widowControl w:val="0"/>
        <w:numPr>
          <w:ilvl w:val="0"/>
          <w:numId w:val="3"/>
        </w:numPr>
        <w:kinsoku/>
        <w:wordWrap/>
        <w:overflowPunct/>
        <w:topLinePunct w:val="0"/>
        <w:bidi w:val="0"/>
        <w:snapToGrid/>
        <w:spacing w:line="560" w:lineRule="exact"/>
        <w:ind w:lef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4"/>
        <w:keepNext w:val="0"/>
        <w:keepLines w:val="0"/>
        <w:pageBreakBefore w:val="0"/>
        <w:widowControl w:val="0"/>
        <w:numPr>
          <w:ilvl w:val="0"/>
          <w:numId w:val="0"/>
        </w:numPr>
        <w:kinsoku/>
        <w:wordWrap/>
        <w:overflowPunct/>
        <w:topLinePunct w:val="0"/>
        <w:bidi w:val="0"/>
        <w:snapToGrid/>
        <w:spacing w:line="560" w:lineRule="exact"/>
        <w:ind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无。</w:t>
      </w:r>
    </w:p>
    <w:p>
      <w:pPr>
        <w:pStyle w:val="4"/>
        <w:keepNext w:val="0"/>
        <w:keepLines w:val="0"/>
        <w:pageBreakBefore w:val="0"/>
        <w:widowControl w:val="0"/>
        <w:numPr>
          <w:ilvl w:val="0"/>
          <w:numId w:val="3"/>
        </w:numPr>
        <w:kinsoku/>
        <w:wordWrap/>
        <w:overflowPunct/>
        <w:topLinePunct w:val="0"/>
        <w:bidi w:val="0"/>
        <w:snapToGrid/>
        <w:spacing w:line="560" w:lineRule="exact"/>
        <w:ind w:left="0" w:lef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4"/>
        <w:keepNext w:val="0"/>
        <w:keepLines w:val="0"/>
        <w:pageBreakBefore w:val="0"/>
        <w:widowControl w:val="0"/>
        <w:numPr>
          <w:ilvl w:val="0"/>
          <w:numId w:val="0"/>
        </w:numPr>
        <w:kinsoku/>
        <w:wordWrap/>
        <w:overflowPunct/>
        <w:topLinePunct w:val="0"/>
        <w:bidi w:val="0"/>
        <w:snapToGrid/>
        <w:spacing w:line="560" w:lineRule="exact"/>
        <w:ind w:leftChars="0"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bidi="ar-SA"/>
        </w:rPr>
        <w:t>无。</w:t>
      </w:r>
    </w:p>
    <w:p>
      <w:pPr>
        <w:keepNext w:val="0"/>
        <w:keepLines w:val="0"/>
        <w:pageBreakBefore w:val="0"/>
        <w:widowControl w:val="0"/>
        <w:kinsoku/>
        <w:wordWrap/>
        <w:overflowPunct/>
        <w:topLinePunct w:val="0"/>
        <w:bidi w:val="0"/>
        <w:snapToGrid/>
        <w:spacing w:line="560" w:lineRule="exact"/>
        <w:ind w:lef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w:t>
      </w:r>
      <w:r>
        <w:rPr>
          <w:rFonts w:hint="default" w:ascii="Times New Roman" w:hAnsi="Times New Roman" w:eastAsia="黑体" w:cs="Times New Roman"/>
          <w:sz w:val="32"/>
          <w:szCs w:val="32"/>
          <w:highlight w:val="none"/>
          <w:lang w:eastAsia="zh-CN"/>
        </w:rPr>
        <w:t>资金使用及</w:t>
      </w:r>
      <w:r>
        <w:rPr>
          <w:rFonts w:hint="default" w:ascii="Times New Roman" w:hAnsi="Times New Roman" w:eastAsia="黑体" w:cs="Times New Roman"/>
          <w:sz w:val="32"/>
          <w:szCs w:val="32"/>
          <w:highlight w:val="none"/>
        </w:rPr>
        <w:t>绩效情况</w:t>
      </w:r>
    </w:p>
    <w:p>
      <w:pPr>
        <w:keepNext w:val="0"/>
        <w:keepLines w:val="0"/>
        <w:pageBreakBefore w:val="0"/>
        <w:widowControl w:val="0"/>
        <w:kinsoku/>
        <w:wordWrap/>
        <w:overflowPunct/>
        <w:topLinePunct w:val="0"/>
        <w:bidi w:val="0"/>
        <w:snapToGrid/>
        <w:spacing w:line="560" w:lineRule="exact"/>
        <w:ind w:leftChars="0" w:firstLine="643" w:firstLineChars="200"/>
        <w:textAlignment w:val="auto"/>
        <w:rPr>
          <w:rFonts w:hint="default" w:ascii="Times New Roman" w:hAnsi="Times New Roman" w:eastAsia="楷体_GB2312" w:cs="Times New Roman"/>
          <w:b/>
          <w:kern w:val="2"/>
          <w:sz w:val="32"/>
          <w:szCs w:val="32"/>
          <w:highlight w:val="none"/>
          <w:lang w:val="en-US" w:eastAsia="zh-CN" w:bidi="ar-SA"/>
        </w:rPr>
      </w:pPr>
      <w:r>
        <w:rPr>
          <w:rFonts w:hint="default" w:ascii="Times New Roman" w:hAnsi="Times New Roman" w:eastAsia="楷体_GB2312" w:cs="Times New Roman"/>
          <w:b/>
          <w:kern w:val="2"/>
          <w:sz w:val="32"/>
          <w:szCs w:val="32"/>
          <w:highlight w:val="none"/>
          <w:lang w:val="en-US" w:eastAsia="zh-CN" w:bidi="ar-SA"/>
        </w:rPr>
        <w:t>（一）部门整体支出绩效情况</w:t>
      </w:r>
    </w:p>
    <w:p>
      <w:pPr>
        <w:keepNext w:val="0"/>
        <w:keepLines w:val="0"/>
        <w:pageBreakBefore w:val="0"/>
        <w:widowControl w:val="0"/>
        <w:numPr>
          <w:ilvl w:val="0"/>
          <w:numId w:val="0"/>
        </w:numPr>
        <w:kinsoku/>
        <w:wordWrap/>
        <w:overflowPunct/>
        <w:topLinePunct w:val="0"/>
        <w:bidi w:val="0"/>
        <w:snapToGrid/>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在区委、区政府的正确领导下，在市金融办的具体指导下，积极参与全市推进“三个高地”工作和“市场主体培育年”活动，履行好金融服务、金融维稳、金融监管三大职能，工作取得显著成效。</w:t>
      </w:r>
    </w:p>
    <w:p>
      <w:pPr>
        <w:keepNext w:val="0"/>
        <w:keepLines w:val="0"/>
        <w:pageBreakBefore w:val="0"/>
        <w:widowControl w:val="0"/>
        <w:numPr>
          <w:ilvl w:val="0"/>
          <w:numId w:val="0"/>
        </w:numPr>
        <w:kinsoku/>
        <w:wordWrap/>
        <w:overflowPunct/>
        <w:topLinePunct w:val="0"/>
        <w:bidi w:val="0"/>
        <w:snapToGrid/>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争取信贷支持，增强资金要素保障；一是搭建对接平台。深化政银企联动，积极争取金融资源，举办大型银企对接会2场，推动农业银行市分行支持芦淞市场群业态升级，授信签约20亿元；推动建设银行市分行支持高新区董家塅片区企业纾困解难，整体授信30亿元，现场放款2.3亿元。经常性开展现场走访，举办“点对点”式银企对接会10余场，先后为成超模具、泛航智能、木朵服饰等30余家企业解决融资3.8亿元。二是推广普惠金融。积极宣传，简化手续，发挥风补基金增信作用，全年“白名单”企业贷款存量达到109家（含续贷企业）、3.54亿元。稳步推进知识价值信用贷款、中小企业商业价值信用贷款、供应链金融等6项金融改革试点工作，全区有82家企业进入知识价值信用贷款“白名单”，其中6家企业已获得贷款总计2500万元。三是推动政策性贷款。积极落实制造业中长期贷款、设备购置与更新改造贴息贷款等政策，全区共计申报制造业中长期贷款项目29个，申请贷款金额67.21亿元，申报设备购置和更新改造贴息贷款项目12个，申请贷款金额8.22亿元。</w:t>
      </w:r>
    </w:p>
    <w:p>
      <w:pPr>
        <w:keepNext w:val="0"/>
        <w:keepLines w:val="0"/>
        <w:pageBreakBefore w:val="0"/>
        <w:widowControl w:val="0"/>
        <w:kinsoku/>
        <w:wordWrap/>
        <w:overflowPunct/>
        <w:topLinePunct w:val="0"/>
        <w:bidi w:val="0"/>
        <w:snapToGrid/>
        <w:spacing w:line="560" w:lineRule="exact"/>
        <w:ind w:leftChars="0" w:firstLine="643" w:firstLineChars="200"/>
        <w:textAlignment w:val="auto"/>
        <w:rPr>
          <w:rFonts w:hint="default" w:ascii="Times New Roman" w:hAnsi="Times New Roman" w:eastAsia="楷体_GB2312" w:cs="Times New Roman"/>
          <w:b/>
          <w:kern w:val="2"/>
          <w:sz w:val="32"/>
          <w:szCs w:val="32"/>
          <w:highlight w:val="none"/>
          <w:lang w:val="en-US" w:eastAsia="zh-CN" w:bidi="ar-SA"/>
        </w:rPr>
      </w:pPr>
      <w:r>
        <w:rPr>
          <w:rFonts w:hint="default" w:ascii="Times New Roman" w:hAnsi="Times New Roman" w:eastAsia="楷体_GB2312" w:cs="Times New Roman"/>
          <w:b/>
          <w:kern w:val="2"/>
          <w:sz w:val="32"/>
          <w:szCs w:val="32"/>
          <w:highlight w:val="none"/>
          <w:lang w:val="en-US" w:eastAsia="zh-CN" w:bidi="ar-SA"/>
        </w:rPr>
        <w:t>（二）专项资金支出绩效情况</w:t>
      </w:r>
    </w:p>
    <w:p>
      <w:pPr>
        <w:keepNext w:val="0"/>
        <w:keepLines w:val="0"/>
        <w:pageBreakBefore w:val="0"/>
        <w:widowControl w:val="0"/>
        <w:numPr>
          <w:ilvl w:val="0"/>
          <w:numId w:val="0"/>
        </w:numPr>
        <w:kinsoku/>
        <w:wordWrap/>
        <w:overflowPunct/>
        <w:topLinePunct w:val="0"/>
        <w:bidi w:val="0"/>
        <w:snapToGrid/>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处非和金融监管专项：针对我区非法集资的严峻形势，开展打击和处置非法集资工作，加强宣传教育，增强群众对非法集资的风险防范意识和辨别能力，确保全区情况平稳可控。</w:t>
      </w:r>
    </w:p>
    <w:p>
      <w:pPr>
        <w:pStyle w:val="4"/>
        <w:keepNext w:val="0"/>
        <w:keepLines w:val="0"/>
        <w:pageBreakBefore w:val="0"/>
        <w:widowControl w:val="0"/>
        <w:numPr>
          <w:ilvl w:val="0"/>
          <w:numId w:val="0"/>
        </w:numPr>
        <w:kinsoku/>
        <w:wordWrap/>
        <w:overflowPunct/>
        <w:topLinePunct w:val="0"/>
        <w:bidi w:val="0"/>
        <w:snapToGrid/>
        <w:spacing w:line="560" w:lineRule="exact"/>
        <w:ind w:lef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存在的问题及原因分析</w:t>
      </w:r>
    </w:p>
    <w:p>
      <w:pPr>
        <w:keepNext w:val="0"/>
        <w:keepLines w:val="0"/>
        <w:pageBreakBefore w:val="0"/>
        <w:widowControl w:val="0"/>
        <w:numPr>
          <w:ilvl w:val="0"/>
          <w:numId w:val="0"/>
        </w:numPr>
        <w:kinsoku/>
        <w:wordWrap/>
        <w:overflowPunct/>
        <w:topLinePunct w:val="0"/>
        <w:bidi w:val="0"/>
        <w:snapToGrid/>
        <w:spacing w:line="560" w:lineRule="exact"/>
        <w:ind w:leftChars="0" w:firstLine="643" w:firstLineChars="200"/>
        <w:textAlignment w:val="auto"/>
        <w:rPr>
          <w:rFonts w:hint="eastAsia" w:eastAsia="楷体_GB2312" w:cs="Times New Roman"/>
          <w:b/>
          <w:kern w:val="2"/>
          <w:sz w:val="32"/>
          <w:szCs w:val="32"/>
          <w:highlight w:val="none"/>
          <w:lang w:val="en-US" w:eastAsia="zh-CN" w:bidi="ar-SA"/>
        </w:rPr>
      </w:pPr>
      <w:r>
        <w:rPr>
          <w:rFonts w:hint="default" w:ascii="Times New Roman" w:hAnsi="Times New Roman" w:eastAsia="楷体_GB2312" w:cs="Times New Roman"/>
          <w:b/>
          <w:kern w:val="2"/>
          <w:sz w:val="32"/>
          <w:szCs w:val="32"/>
          <w:highlight w:val="none"/>
          <w:lang w:val="en-US" w:eastAsia="zh-CN" w:bidi="ar-SA"/>
        </w:rPr>
        <w:t>（一）部门整体支出绩效</w:t>
      </w:r>
      <w:r>
        <w:rPr>
          <w:rFonts w:hint="eastAsia" w:eastAsia="楷体_GB2312" w:cs="Times New Roman"/>
          <w:b/>
          <w:kern w:val="2"/>
          <w:sz w:val="32"/>
          <w:szCs w:val="32"/>
          <w:highlight w:val="none"/>
          <w:lang w:val="en-US" w:eastAsia="zh-CN" w:bidi="ar-SA"/>
        </w:rPr>
        <w:t>存在的问题</w:t>
      </w:r>
    </w:p>
    <w:p>
      <w:pPr>
        <w:keepNext w:val="0"/>
        <w:keepLines w:val="0"/>
        <w:pageBreakBefore w:val="0"/>
        <w:widowControl w:val="0"/>
        <w:numPr>
          <w:ilvl w:val="0"/>
          <w:numId w:val="0"/>
        </w:numPr>
        <w:kinsoku/>
        <w:wordWrap/>
        <w:overflowPunct/>
        <w:topLinePunct w:val="0"/>
        <w:bidi w:val="0"/>
        <w:snapToGrid/>
        <w:spacing w:line="560" w:lineRule="exact"/>
        <w:ind w:leftChars="0"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1、基本支出经费保障水平偏低。预算执行基本围绕保障人员经费、保障正常运转进行。从决算情况看，基本支出比重比较大。</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2、预算编制仍需进一步精确细化。随着财务工作日益细化，各项资金需要完全按照所下指标用途分类来使用，我单位目前还需要进一步对预算编制进行细化，加强对资金使用的前瞻性预估。</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3、资产管理资料更新速度较慢。我单位虽然按照财政对资产管理的要求，对单位内各项资产都进行了登记及建立台账，但仍存在更新滞后的情况。</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4、财务人员业务水平仍需提高，需加强对财务业务知识的培训。</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5、办公费用品的采购与管理还有待进一步完善，需进一步压缩办公费用的支出。</w:t>
      </w:r>
    </w:p>
    <w:p>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楷体_GB2312" w:cs="Times New Roman"/>
          <w:b/>
          <w:kern w:val="2"/>
          <w:sz w:val="32"/>
          <w:szCs w:val="32"/>
          <w:highlight w:val="none"/>
          <w:lang w:val="en-US" w:eastAsia="zh-CN" w:bidi="ar-SA"/>
        </w:rPr>
        <w:t>（</w:t>
      </w:r>
      <w:r>
        <w:rPr>
          <w:rFonts w:hint="eastAsia" w:eastAsia="楷体_GB2312" w:cs="Times New Roman"/>
          <w:b/>
          <w:kern w:val="2"/>
          <w:sz w:val="32"/>
          <w:szCs w:val="32"/>
          <w:highlight w:val="none"/>
          <w:lang w:val="en-US" w:eastAsia="zh-CN" w:bidi="ar-SA"/>
        </w:rPr>
        <w:t>二</w:t>
      </w:r>
      <w:r>
        <w:rPr>
          <w:rFonts w:hint="default" w:ascii="Times New Roman" w:hAnsi="Times New Roman" w:eastAsia="楷体_GB2312" w:cs="Times New Roman"/>
          <w:b/>
          <w:kern w:val="2"/>
          <w:sz w:val="32"/>
          <w:szCs w:val="32"/>
          <w:highlight w:val="none"/>
          <w:lang w:val="en-US" w:eastAsia="zh-CN" w:bidi="ar-SA"/>
        </w:rPr>
        <w:t>）部门整体支出绩效</w:t>
      </w:r>
      <w:r>
        <w:rPr>
          <w:rFonts w:hint="eastAsia" w:eastAsia="楷体_GB2312" w:cs="Times New Roman"/>
          <w:b/>
          <w:kern w:val="2"/>
          <w:sz w:val="32"/>
          <w:szCs w:val="32"/>
          <w:highlight w:val="none"/>
          <w:lang w:val="en-US" w:eastAsia="zh-CN" w:bidi="ar-SA"/>
        </w:rPr>
        <w:t>改进建议</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1、细化预算编制工作，认真做好预算的编制。进一步提升内部机构各股室的预算管理意识，严格按照预算编制的相关制度和要求进行预算编制。</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4、对相关人员加强培训，特别是针对《预算法》《行政事业单位会计制度》《内部财务人员审核》等学习培训，规范部门预算收支核算，切实提高部门预算收支管理水平。</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eastAsia="仿宋_GB2312" w:cs="Times New Roman"/>
          <w:color w:val="000000"/>
          <w:kern w:val="2"/>
          <w:sz w:val="32"/>
          <w:szCs w:val="32"/>
          <w:highlight w:val="none"/>
          <w:lang w:val="en-US" w:eastAsia="zh-CN" w:bidi="ar-SA"/>
        </w:rPr>
        <w:t>5</w:t>
      </w:r>
      <w:r>
        <w:rPr>
          <w:rFonts w:hint="default" w:ascii="Times New Roman" w:hAnsi="Times New Roman" w:eastAsia="仿宋_GB2312" w:cs="Times New Roman"/>
          <w:color w:val="000000"/>
          <w:kern w:val="2"/>
          <w:sz w:val="32"/>
          <w:szCs w:val="32"/>
          <w:highlight w:val="none"/>
          <w:lang w:val="en-US" w:eastAsia="zh-CN" w:bidi="ar-SA"/>
        </w:rPr>
        <w:t>、办公用品、耗材需专人进行采购及管理，领用需登记造册，减少不必要的浪费。</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pPr>
        <w:keepNext w:val="0"/>
        <w:keepLines w:val="0"/>
        <w:pageBreakBefore w:val="0"/>
        <w:widowControl w:val="0"/>
        <w:kinsoku/>
        <w:wordWrap/>
        <w:overflowPunct/>
        <w:topLinePunct w:val="0"/>
        <w:bidi w:val="0"/>
        <w:snapToGrid/>
        <w:spacing w:line="560" w:lineRule="exact"/>
        <w:ind w:leftChars="0" w:firstLine="640" w:firstLineChars="200"/>
        <w:jc w:val="left"/>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color w:val="000000"/>
          <w:kern w:val="0"/>
          <w:sz w:val="32"/>
          <w:szCs w:val="32"/>
          <w:highlight w:val="none"/>
        </w:rPr>
        <w:t>本单位将认真分析总结预算编报中存在的问题，在预算阶段制定项目绩效年度目标时尽可能做到科学、合理，并根据部门的职能职责的实际情况，制定能够统领预算编制的整体支出绩效目标，使各项任务的组织实施服务于整体支出绩效，确保部门预算与职能目标一致。</w:t>
      </w:r>
    </w:p>
    <w:p>
      <w:pPr>
        <w:keepNext w:val="0"/>
        <w:keepLines w:val="0"/>
        <w:pageBreakBefore w:val="0"/>
        <w:widowControl w:val="0"/>
        <w:numPr>
          <w:ilvl w:val="0"/>
          <w:numId w:val="0"/>
        </w:numPr>
        <w:kinsoku/>
        <w:wordWrap/>
        <w:overflowPunct/>
        <w:topLinePunct w:val="0"/>
        <w:bidi w:val="0"/>
        <w:snapToGrid/>
        <w:spacing w:line="560" w:lineRule="exact"/>
        <w:ind w:lef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绩效自评结果拟应用和公开情况</w:t>
      </w:r>
    </w:p>
    <w:p>
      <w:pPr>
        <w:pStyle w:val="5"/>
        <w:keepNext w:val="0"/>
        <w:keepLines w:val="0"/>
        <w:pageBreakBefore w:val="0"/>
        <w:widowControl w:val="0"/>
        <w:kinsoku/>
        <w:wordWrap/>
        <w:overflowPunct/>
        <w:topLinePunct w:val="0"/>
        <w:bidi w:val="0"/>
        <w:snapToGrid/>
        <w:spacing w:line="560" w:lineRule="exact"/>
        <w:ind w:leftChars="0" w:firstLine="620" w:firstLineChars="200"/>
        <w:textAlignment w:val="auto"/>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eastAsia="仿宋_GB2312" w:cs="Times New Roman"/>
          <w:color w:val="000000"/>
          <w:kern w:val="0"/>
          <w:sz w:val="31"/>
          <w:szCs w:val="31"/>
          <w:highlight w:val="none"/>
          <w:lang w:val="en-US" w:eastAsia="zh-CN" w:bidi="ar"/>
        </w:rPr>
        <w:t>通过绩效自评，进一步掌握了资金使用情况和取得的效果，发现了工作中存在的问题和不足。</w:t>
      </w:r>
    </w:p>
    <w:p>
      <w:pPr>
        <w:pStyle w:val="5"/>
        <w:keepNext w:val="0"/>
        <w:keepLines w:val="0"/>
        <w:pageBreakBefore w:val="0"/>
        <w:widowControl w:val="0"/>
        <w:kinsoku/>
        <w:wordWrap/>
        <w:overflowPunct/>
        <w:topLinePunct w:val="0"/>
        <w:bidi w:val="0"/>
        <w:snapToGrid/>
        <w:spacing w:line="560" w:lineRule="exact"/>
        <w:ind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本单位没有独立网站，</w:t>
      </w:r>
      <w:r>
        <w:rPr>
          <w:rFonts w:hint="default" w:ascii="Times New Roman" w:hAnsi="Times New Roman" w:eastAsia="仿宋_GB2312" w:cs="Times New Roman"/>
          <w:color w:val="000000"/>
          <w:kern w:val="0"/>
          <w:sz w:val="31"/>
          <w:szCs w:val="31"/>
          <w:highlight w:val="none"/>
          <w:lang w:val="en-US" w:eastAsia="zh-CN" w:bidi="ar"/>
        </w:rPr>
        <w:t>此次绩效自评报告将与202</w:t>
      </w:r>
      <w:r>
        <w:rPr>
          <w:rFonts w:hint="eastAsia" w:ascii="Times New Roman" w:hAnsi="Times New Roman" w:eastAsia="仿宋_GB2312" w:cs="Times New Roman"/>
          <w:color w:val="000000"/>
          <w:kern w:val="0"/>
          <w:sz w:val="31"/>
          <w:szCs w:val="31"/>
          <w:highlight w:val="none"/>
          <w:lang w:val="en-US" w:eastAsia="zh-CN" w:bidi="ar"/>
        </w:rPr>
        <w:t>2</w:t>
      </w:r>
      <w:r>
        <w:rPr>
          <w:rFonts w:hint="default" w:ascii="Times New Roman" w:hAnsi="Times New Roman" w:eastAsia="仿宋_GB2312" w:cs="Times New Roman"/>
          <w:color w:val="000000"/>
          <w:kern w:val="0"/>
          <w:sz w:val="31"/>
          <w:szCs w:val="31"/>
          <w:highlight w:val="none"/>
          <w:lang w:val="en-US" w:eastAsia="zh-CN" w:bidi="ar"/>
        </w:rPr>
        <w:t>年部门决算一起</w:t>
      </w:r>
      <w:r>
        <w:rPr>
          <w:rFonts w:hint="default" w:ascii="Times New Roman" w:hAnsi="Times New Roman" w:eastAsia="仿宋_GB2312" w:cs="Times New Roman"/>
          <w:sz w:val="32"/>
          <w:szCs w:val="32"/>
          <w:highlight w:val="none"/>
        </w:rPr>
        <w:t>在芦淞区政府信息公开专栏中公开</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lef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val="0"/>
        <w:kinsoku/>
        <w:wordWrap/>
        <w:overflowPunct/>
        <w:topLinePunct w:val="0"/>
        <w:bidi w:val="0"/>
        <w:snapToGrid/>
        <w:spacing w:line="560" w:lineRule="exact"/>
        <w:ind w:leftChars="0" w:firstLine="640" w:firstLineChars="200"/>
        <w:jc w:val="left"/>
        <w:textAlignment w:val="auto"/>
        <w:rPr>
          <w:rFonts w:hint="eastAsia"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无</w:t>
      </w:r>
      <w:r>
        <w:rPr>
          <w:rFonts w:hint="eastAsia" w:eastAsia="仿宋_GB2312" w:cs="Times New Roman"/>
          <w:color w:val="000000"/>
          <w:kern w:val="0"/>
          <w:sz w:val="32"/>
          <w:szCs w:val="32"/>
          <w:highlight w:val="none"/>
          <w:lang w:val="en-US" w:eastAsia="zh-CN"/>
        </w:rPr>
        <w:t>。</w:t>
      </w:r>
    </w:p>
    <w:p>
      <w:pPr>
        <w:keepNext w:val="0"/>
        <w:keepLines w:val="0"/>
        <w:pageBreakBefore w:val="0"/>
        <w:widowControl w:val="0"/>
        <w:kinsoku/>
        <w:wordWrap/>
        <w:overflowPunct/>
        <w:topLinePunct w:val="0"/>
        <w:bidi w:val="0"/>
        <w:snapToGrid/>
        <w:spacing w:line="560" w:lineRule="exact"/>
        <w:ind w:leftChars="0" w:firstLine="420" w:firstLineChars="200"/>
        <w:textAlignment w:val="auto"/>
        <w:rPr>
          <w:rFonts w:hint="default" w:ascii="Times New Roman" w:hAnsi="Times New Roman" w:cs="Times New Roman"/>
          <w:highlight w:val="none"/>
        </w:rPr>
      </w:pPr>
      <w:bookmarkStart w:id="0" w:name="_GoBack"/>
      <w:bookmarkEnd w:id="0"/>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763A1"/>
    <w:multiLevelType w:val="singleLevel"/>
    <w:tmpl w:val="207763A1"/>
    <w:lvl w:ilvl="0" w:tentative="0">
      <w:start w:val="1"/>
      <w:numFmt w:val="chineseCounting"/>
      <w:suff w:val="nothing"/>
      <w:lvlText w:val="（%1）"/>
      <w:lvlJc w:val="left"/>
      <w:rPr>
        <w:rFonts w:hint="eastAsia"/>
      </w:rPr>
    </w:lvl>
  </w:abstractNum>
  <w:abstractNum w:abstractNumId="1">
    <w:nsid w:val="4890FF15"/>
    <w:multiLevelType w:val="singleLevel"/>
    <w:tmpl w:val="4890FF15"/>
    <w:lvl w:ilvl="0" w:tentative="0">
      <w:start w:val="2"/>
      <w:numFmt w:val="chineseCounting"/>
      <w:suff w:val="nothing"/>
      <w:lvlText w:val="（%1）"/>
      <w:lvlJc w:val="left"/>
      <w:rPr>
        <w:rFonts w:hint="eastAsia"/>
      </w:rPr>
    </w:lvl>
  </w:abstractNum>
  <w:abstractNum w:abstractNumId="2">
    <w:nsid w:val="5C5640DF"/>
    <w:multiLevelType w:val="singleLevel"/>
    <w:tmpl w:val="5C5640DF"/>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DM2YzFhNTM4Yzc0NTI3Y2ZhMzE4MGI4MzVjNmM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4C286A"/>
    <w:rsid w:val="046063A3"/>
    <w:rsid w:val="048E4A8E"/>
    <w:rsid w:val="04A8621F"/>
    <w:rsid w:val="052916E5"/>
    <w:rsid w:val="052D1124"/>
    <w:rsid w:val="05841760"/>
    <w:rsid w:val="058C239E"/>
    <w:rsid w:val="05FC034F"/>
    <w:rsid w:val="06334EF1"/>
    <w:rsid w:val="06377F01"/>
    <w:rsid w:val="071E5F82"/>
    <w:rsid w:val="072B45AB"/>
    <w:rsid w:val="07BB6AF4"/>
    <w:rsid w:val="07EF4D29"/>
    <w:rsid w:val="08470747"/>
    <w:rsid w:val="0893725C"/>
    <w:rsid w:val="089572CF"/>
    <w:rsid w:val="08A00773"/>
    <w:rsid w:val="08A4283C"/>
    <w:rsid w:val="08D95C31"/>
    <w:rsid w:val="08EF0DD0"/>
    <w:rsid w:val="08F027B4"/>
    <w:rsid w:val="09783F74"/>
    <w:rsid w:val="0A3D57A2"/>
    <w:rsid w:val="0A4370BC"/>
    <w:rsid w:val="0A4D6F7D"/>
    <w:rsid w:val="0A94795B"/>
    <w:rsid w:val="0AB4192F"/>
    <w:rsid w:val="0B1F6B23"/>
    <w:rsid w:val="0B4524E9"/>
    <w:rsid w:val="0B656401"/>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B873C3"/>
    <w:rsid w:val="10593E88"/>
    <w:rsid w:val="109A7BDE"/>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0CF7992"/>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DA5D30"/>
    <w:rsid w:val="28E4125D"/>
    <w:rsid w:val="29BB6A7E"/>
    <w:rsid w:val="29EC49AF"/>
    <w:rsid w:val="2AC43DDE"/>
    <w:rsid w:val="2AEF4956"/>
    <w:rsid w:val="2AFE7CAA"/>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311B5F"/>
    <w:rsid w:val="31AF70F0"/>
    <w:rsid w:val="32D24F00"/>
    <w:rsid w:val="32D963A9"/>
    <w:rsid w:val="32ED21B4"/>
    <w:rsid w:val="331926DE"/>
    <w:rsid w:val="35124AFB"/>
    <w:rsid w:val="35164EC9"/>
    <w:rsid w:val="35EE1AE6"/>
    <w:rsid w:val="36093D3B"/>
    <w:rsid w:val="36216ACD"/>
    <w:rsid w:val="36AD5505"/>
    <w:rsid w:val="36DB24F1"/>
    <w:rsid w:val="37904E67"/>
    <w:rsid w:val="3797204C"/>
    <w:rsid w:val="37A771FF"/>
    <w:rsid w:val="37B37AED"/>
    <w:rsid w:val="37EF7DFA"/>
    <w:rsid w:val="380A1D4B"/>
    <w:rsid w:val="38A54053"/>
    <w:rsid w:val="38BE032D"/>
    <w:rsid w:val="38D37D37"/>
    <w:rsid w:val="39312765"/>
    <w:rsid w:val="393A2055"/>
    <w:rsid w:val="399C1F0E"/>
    <w:rsid w:val="3A003CFF"/>
    <w:rsid w:val="3A1339C4"/>
    <w:rsid w:val="3A590258"/>
    <w:rsid w:val="3AF63590"/>
    <w:rsid w:val="3B06110B"/>
    <w:rsid w:val="3B2C40EA"/>
    <w:rsid w:val="3B9B7004"/>
    <w:rsid w:val="3BCF551C"/>
    <w:rsid w:val="3C87456A"/>
    <w:rsid w:val="3CA231F4"/>
    <w:rsid w:val="3CDC3CFC"/>
    <w:rsid w:val="3CFC20B7"/>
    <w:rsid w:val="3DB64EAC"/>
    <w:rsid w:val="3E374A62"/>
    <w:rsid w:val="3E694CE7"/>
    <w:rsid w:val="3E835DD7"/>
    <w:rsid w:val="3EC819BA"/>
    <w:rsid w:val="3EEE35A4"/>
    <w:rsid w:val="3F6056A5"/>
    <w:rsid w:val="3F7004CB"/>
    <w:rsid w:val="3FFC7781"/>
    <w:rsid w:val="405317F7"/>
    <w:rsid w:val="40754FF3"/>
    <w:rsid w:val="40C20B23"/>
    <w:rsid w:val="40CE715B"/>
    <w:rsid w:val="40D508AB"/>
    <w:rsid w:val="40E640CC"/>
    <w:rsid w:val="41A76DE9"/>
    <w:rsid w:val="41D57B43"/>
    <w:rsid w:val="43141345"/>
    <w:rsid w:val="43420DA9"/>
    <w:rsid w:val="435C781C"/>
    <w:rsid w:val="437C0F5D"/>
    <w:rsid w:val="43827D14"/>
    <w:rsid w:val="43F35C45"/>
    <w:rsid w:val="44B87D18"/>
    <w:rsid w:val="453A160B"/>
    <w:rsid w:val="45E2026E"/>
    <w:rsid w:val="45F85A17"/>
    <w:rsid w:val="460B5BC9"/>
    <w:rsid w:val="463747B7"/>
    <w:rsid w:val="47212ECA"/>
    <w:rsid w:val="47323108"/>
    <w:rsid w:val="47D51345"/>
    <w:rsid w:val="47E11557"/>
    <w:rsid w:val="48196B29"/>
    <w:rsid w:val="4885603F"/>
    <w:rsid w:val="491722FF"/>
    <w:rsid w:val="491D74A7"/>
    <w:rsid w:val="49297DDB"/>
    <w:rsid w:val="49753493"/>
    <w:rsid w:val="497C7C2F"/>
    <w:rsid w:val="498307B4"/>
    <w:rsid w:val="49882B9B"/>
    <w:rsid w:val="49AF4809"/>
    <w:rsid w:val="49B324BE"/>
    <w:rsid w:val="49BA0302"/>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C981521"/>
    <w:rsid w:val="4D36566E"/>
    <w:rsid w:val="4DBB24B5"/>
    <w:rsid w:val="4E03467F"/>
    <w:rsid w:val="4EE91176"/>
    <w:rsid w:val="4EF96755"/>
    <w:rsid w:val="4EFF6E71"/>
    <w:rsid w:val="4F7317CB"/>
    <w:rsid w:val="4F7C135A"/>
    <w:rsid w:val="4FC01EDA"/>
    <w:rsid w:val="50281CF3"/>
    <w:rsid w:val="502D1E65"/>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124AD"/>
    <w:rsid w:val="5B352171"/>
    <w:rsid w:val="5B514882"/>
    <w:rsid w:val="5B5C757D"/>
    <w:rsid w:val="5B6B124E"/>
    <w:rsid w:val="5D155819"/>
    <w:rsid w:val="5D656D7E"/>
    <w:rsid w:val="5DCE0C96"/>
    <w:rsid w:val="5DE454AE"/>
    <w:rsid w:val="5DEC70B2"/>
    <w:rsid w:val="5E1F095F"/>
    <w:rsid w:val="5E2D7353"/>
    <w:rsid w:val="5E482C04"/>
    <w:rsid w:val="5E5D637B"/>
    <w:rsid w:val="5EC735B0"/>
    <w:rsid w:val="5F0F193D"/>
    <w:rsid w:val="5F2B6724"/>
    <w:rsid w:val="60C055B7"/>
    <w:rsid w:val="612D4EDB"/>
    <w:rsid w:val="614A0603"/>
    <w:rsid w:val="61F20913"/>
    <w:rsid w:val="624B0B8B"/>
    <w:rsid w:val="62923B3C"/>
    <w:rsid w:val="62C32DEC"/>
    <w:rsid w:val="630D66DA"/>
    <w:rsid w:val="639F4202"/>
    <w:rsid w:val="63B0031B"/>
    <w:rsid w:val="640D5FD9"/>
    <w:rsid w:val="641E0B92"/>
    <w:rsid w:val="642C6292"/>
    <w:rsid w:val="643B0B1A"/>
    <w:rsid w:val="645E3C0F"/>
    <w:rsid w:val="64616FA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B855F7"/>
    <w:rsid w:val="68DB1AF2"/>
    <w:rsid w:val="68E0427F"/>
    <w:rsid w:val="68F75735"/>
    <w:rsid w:val="694757F4"/>
    <w:rsid w:val="694E691F"/>
    <w:rsid w:val="6B3B48D5"/>
    <w:rsid w:val="6BBF4B8D"/>
    <w:rsid w:val="6BD6085F"/>
    <w:rsid w:val="6C630660"/>
    <w:rsid w:val="6C6E6460"/>
    <w:rsid w:val="6C9165DC"/>
    <w:rsid w:val="6C9331C1"/>
    <w:rsid w:val="6D2E13D1"/>
    <w:rsid w:val="6D3264BE"/>
    <w:rsid w:val="6D6D6826"/>
    <w:rsid w:val="6D9E11D0"/>
    <w:rsid w:val="6DCC19D2"/>
    <w:rsid w:val="6E1C0E83"/>
    <w:rsid w:val="6E224140"/>
    <w:rsid w:val="6E2E58DF"/>
    <w:rsid w:val="6E987E4E"/>
    <w:rsid w:val="6EE044A0"/>
    <w:rsid w:val="6F0F7BD0"/>
    <w:rsid w:val="6F1D59CD"/>
    <w:rsid w:val="6FE61A56"/>
    <w:rsid w:val="704C412C"/>
    <w:rsid w:val="70AD1C74"/>
    <w:rsid w:val="711C4732"/>
    <w:rsid w:val="72696BF8"/>
    <w:rsid w:val="734F28D5"/>
    <w:rsid w:val="734F3820"/>
    <w:rsid w:val="73E514CF"/>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647CD"/>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eastAsia="宋体" w:cs="Times New Roman"/>
      <w:szCs w:val="22"/>
    </w:r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1160</Words>
  <Characters>1211</Characters>
  <Lines>0</Lines>
  <Paragraphs>0</Paragraphs>
  <TotalTime>13</TotalTime>
  <ScaleCrop>false</ScaleCrop>
  <LinksUpToDate>false</LinksUpToDate>
  <CharactersWithSpaces>1219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啦啦啦</cp:lastModifiedBy>
  <dcterms:modified xsi:type="dcterms:W3CDTF">2023-11-03T02:04:11Z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22B5E9E2A73D4ADD82DC78C429996563_13</vt:lpwstr>
  </property>
</Properties>
</file>