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2022年度株洲市芦淞区财政局整体支出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绩效自评报告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单位名称（盖章）：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株洲市芦淞区财政局是区政府主管工作部门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为正科级单位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有编制人数36人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实有人数36人。局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内设4个股室：办公室、预算股、国库股、业务综合股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局属事业单位4个：区财政投资评审中心、区国库集中支付核算中心、区乡镇财政服务中心、区财政事务中心。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部门（单位）年度整体支出绩效目标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部门专项资金绩效目标、其他项目支出（除省级专项资金以外）绩效目标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单位年度整体支出绩效目标：实现绩效目标管理全覆盖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绩效监控逐步扩宽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绩效自评全覆盖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绩效评价结果广泛应用到2022年度预算编制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实现单位机关账务规范管理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提高财务管理人员的专业素养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促进各预算单位内控制度的建立和健全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防控财务风险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防范财政管理、债务、平台公司管理中的法律风险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编制年度区级财政预算草案并组织执行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编制区级财政总决算。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部门专项资金绩效目标：通过财政所工作目标绩效考核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使财政所制度建设更加健全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管理更加规范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财政所基础建设进一步夯实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人员素质得到提升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基层服务能力和水平得到不断提高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实现绩效目标管理全覆盖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绩效监控逐步扩宽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绩效自评全覆盖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完善内控制度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助推内控建设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促进预算单位不断完成内控制度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防控财务风险。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区级专项资金绩效目标：对电子财政信息平台运营、财政各系统和设备进行更新、维护。委托第三方进行平台公司清理整合咨询服务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完成剥离融资职能、公司合并协议签署、人员调整、取得债权人意见等。实现国有资产保值增值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做好区域系统性风险的防范。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2022年预算资金692.02万元。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2022年度单位一般公共预算财政拨款收入846.19万元。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3.2022年度单位一般公共预算财政拨款支出846.19万元。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其中：项目支出324.12万元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基本支出522.07万元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其中：人员经费444.62万元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公用经费77.45万元。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1、财政管理专项46.05万元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2、财政信息化建设7.77万元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3、党建经费2.84万元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4、防疫经费7.77万元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5、国有资产管理146.34万元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6、经济表彰支出4.93万元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7、评审中心经费46.86万元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8、综合治税信息建设61.56万元。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我局各股室根据2022年工作计划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较好地完成了年初确定的各项工作任务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真正发挥了稳定经济的关键作用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有力推动了全区经济社会高质量发展。全年主要绩效如下：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一是稳收入。积极强化“9+3”重点行业税收清理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督促依法经营纳税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深入推进土地增值税管理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加大核定征收力度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紧盯重点税源企业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促进纳税实现持续增长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重点抓好外埠建安企业税收征收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确保税收应缴尽缴。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二是保支出。优先保障工资、运转和基本民生等刚性支出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确保“三保”支出不断链。强化财政评审、绩效评估评价结果应用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硬化支出预算执行约束。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三是盘存量。加大闲置“三资”盘活处置力度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将处置收入统筹用于保“三保”和偿还债务。加大存量资金盘活力度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做好结余结转资金的收回和统筹使用。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四是防风险。通过非标置换、协议降息等方式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逐步完成高息债务置换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严禁7%以上的新增融资。牢牢守住资金不断链、债务不爆雷的底线。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（二）专项资金支出绩效情况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财政管理专项项目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60万元，实际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支出46.05万元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，执行率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77%，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农支农培训及资料印刷费等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。完成对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家预算单位2022年度的绩效目标审核，审核率达100%，68家预算单位2021年度绩效自评审核，审核率100%，坚持绩效目标实现程度和预算执行进度实行“双监控”，坚持建立和落实重大政策、项目绩效跟踪机制，引入了第三方机构开展了重点项目绩效评价，重点评价金额达15902万元，评价结果广泛运用于来年的预算编制中，极大地促进了财政资金的优化配置。组织开展了惠农支农培训，参训单位超过68家，参训人数达120余人，提升了乡办财务工作者和村干部等的基层工作人员的财务管理意识，基层管理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财政信息化建设项目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年初预算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30万元，实际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支出7.77万元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，执行率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26%。该专项资金主要用于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对电子财政信息平台运营、财政各系统和设备进行更新、维护费等支出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，极大地提升了财政工作效率，实现了财政各项工作的提质增效，也有利于实现对财政资金的把控监管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党建经费项目支出2.84万元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，主要用于组织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党建宣传活动、党务公开栏制作及订阅党报党刊等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，通过党建活动和党建宣传充分发挥了党建引领作用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防疫经费项目支出7.77万元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。面对全区范围内爆发的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新型冠状病毒感染的肺炎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突发疫情，全局在职干部职工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46人（含临聘），全员上线奔赴疫情防控现场，24小时无间断参与疫情防控超过25天，该专项经费用于阻击战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疫情防控期间后勤保障组加班餐费及疫情补助费。5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国有资产管理146.34万元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主要用于国有资产维护费用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政府采购等系统维护与资产报表编报费用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委托三方机构进行国有资产清查、收益摸底服务费等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经济表彰支出4.93万元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主要用于经济表彰大会视频制作费等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，鼓励辖区内企业的发展信心，提升了我区在经济发展方面工作的影响力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评审中心经费46.86万元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主要用于评审项目咨询费及临聘人员工资。8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综合治税信息建设61.56万元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主要用于财税综合信息平台建设技术开发费用。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（一）绩效管理意识有待提升。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经济下行的大背景下，用好财政资金，管好财政资金，“花钱必问效，无效必问责”的意识显得更为重要。在财力日渐吃紧的情况下，尽管全局在对内外事务上都能秉持“过紧日子”的思想和原则，不遗余力地“稳收入”、“保支出”、“盘存量”、“防风险”。但预算绩效管理的意识尚未全面、深入渗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各相关股室对预算绩效管理工作的重要性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、必要性等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认识有待进一步提高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（二）预算编制科学性有待提升。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通过对部分项目的自评和分析，受财力吃紧等客观因素及主管因素的影响，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预算编制不够科学、合理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，直接影响了部分专项资金的拨付率和执行率，预算编制未做到充分全面、细化和具体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强化预算绩效管理的意识。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进一步加强预算资金管理的培训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，充分利用上级组织的线上培训等机会，组织全局上下参与预算绩效管理的学习，充分利用学习、会议及网络平台等载体，加强对预算绩效管理的宣传，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提升各股室的预算绩效管理意识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树立“花钱必问效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无效必问责”的绩效理念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强化预算编制的科学性。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对财政资金尤其是专项项目进行认真考量、评估，充分论证项目的可行性、应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用性、科学性，审慎进行预算编制，对预算资金使用进行全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提高预算资金使用效率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精细测算支出额度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核准核实需求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充分发挥财政资金的效益。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通过绩效自评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实时掌握了资金使用情况和效益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主动发现资金管理过程中存在的问题和不足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，此次评价结果将做为来年预算编制的重要参考依据，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以期加强资金使用及管理、提高资金使用效益。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本单位没有独立网站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此次绩效自评将与2022年部门决算一起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在芦淞区政府信息公开专栏中公示公开。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7B284"/>
    <w:multiLevelType w:val="singleLevel"/>
    <w:tmpl w:val="CDE7B28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A4163"/>
    <w:multiLevelType w:val="singleLevel"/>
    <w:tmpl w:val="EEFA416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CBDB790"/>
    <w:multiLevelType w:val="singleLevel"/>
    <w:tmpl w:val="6CBDB7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8B7FFC0"/>
    <w:multiLevelType w:val="singleLevel"/>
    <w:tmpl w:val="78B7FFC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U4NDM2YzFhNTM4Yzc0NTI3Y2ZhMzE4MGI4MzVjNmMifQ=="/>
  </w:docVars>
  <w:rsids>
    <w:rsidRoot w:val="00E10BFB"/>
    <w:rsid w:val="00004E70"/>
    <w:rsid w:val="00207FA3"/>
    <w:rsid w:val="00332B93"/>
    <w:rsid w:val="00386A02"/>
    <w:rsid w:val="0047459D"/>
    <w:rsid w:val="005A433C"/>
    <w:rsid w:val="00867B7D"/>
    <w:rsid w:val="008C62A7"/>
    <w:rsid w:val="00A56C8A"/>
    <w:rsid w:val="00D5092F"/>
    <w:rsid w:val="00E10BFB"/>
    <w:rsid w:val="00E55161"/>
    <w:rsid w:val="00E7034B"/>
    <w:rsid w:val="00FD7DF2"/>
    <w:rsid w:val="015876FF"/>
    <w:rsid w:val="016976BE"/>
    <w:rsid w:val="019D22E6"/>
    <w:rsid w:val="01A6665B"/>
    <w:rsid w:val="01BB7272"/>
    <w:rsid w:val="01EF5276"/>
    <w:rsid w:val="02665DCF"/>
    <w:rsid w:val="02A86D87"/>
    <w:rsid w:val="02AE4CCA"/>
    <w:rsid w:val="02D92DDA"/>
    <w:rsid w:val="03287320"/>
    <w:rsid w:val="036C6332"/>
    <w:rsid w:val="03AE3AC0"/>
    <w:rsid w:val="03FA6217"/>
    <w:rsid w:val="046063A3"/>
    <w:rsid w:val="048E4A8E"/>
    <w:rsid w:val="04A8621F"/>
    <w:rsid w:val="052D1124"/>
    <w:rsid w:val="05777752"/>
    <w:rsid w:val="05841760"/>
    <w:rsid w:val="058C239E"/>
    <w:rsid w:val="06334EF1"/>
    <w:rsid w:val="06377F01"/>
    <w:rsid w:val="071E5F82"/>
    <w:rsid w:val="07233CA7"/>
    <w:rsid w:val="072B45AB"/>
    <w:rsid w:val="07BB6AF4"/>
    <w:rsid w:val="07D36116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1F2BCB"/>
    <w:rsid w:val="0D366EDE"/>
    <w:rsid w:val="0D4B57FA"/>
    <w:rsid w:val="0D60161F"/>
    <w:rsid w:val="0DFD2365"/>
    <w:rsid w:val="0E897C2B"/>
    <w:rsid w:val="0ED94D9B"/>
    <w:rsid w:val="0F957EE7"/>
    <w:rsid w:val="0F9A0948"/>
    <w:rsid w:val="0FA108F2"/>
    <w:rsid w:val="0FB873C3"/>
    <w:rsid w:val="0FDF1AFD"/>
    <w:rsid w:val="10593E88"/>
    <w:rsid w:val="10C17504"/>
    <w:rsid w:val="10F06DED"/>
    <w:rsid w:val="110F6568"/>
    <w:rsid w:val="11107299"/>
    <w:rsid w:val="1134034B"/>
    <w:rsid w:val="115176A2"/>
    <w:rsid w:val="11BF7B6B"/>
    <w:rsid w:val="12347F9D"/>
    <w:rsid w:val="129D6027"/>
    <w:rsid w:val="13242D1C"/>
    <w:rsid w:val="13A52CDF"/>
    <w:rsid w:val="146C1DD9"/>
    <w:rsid w:val="14BF24DE"/>
    <w:rsid w:val="14CC54C7"/>
    <w:rsid w:val="14E33844"/>
    <w:rsid w:val="14EA23A8"/>
    <w:rsid w:val="15646C07"/>
    <w:rsid w:val="15A27FE2"/>
    <w:rsid w:val="1627453B"/>
    <w:rsid w:val="17197045"/>
    <w:rsid w:val="175C6F5E"/>
    <w:rsid w:val="179A7791"/>
    <w:rsid w:val="17DC3DC3"/>
    <w:rsid w:val="181F357B"/>
    <w:rsid w:val="186B7565"/>
    <w:rsid w:val="188345AC"/>
    <w:rsid w:val="18A0298F"/>
    <w:rsid w:val="195B5909"/>
    <w:rsid w:val="195E168F"/>
    <w:rsid w:val="196A7CDF"/>
    <w:rsid w:val="19C72BF8"/>
    <w:rsid w:val="19CA553D"/>
    <w:rsid w:val="1A4E2E8E"/>
    <w:rsid w:val="1A881CDB"/>
    <w:rsid w:val="1AF51455"/>
    <w:rsid w:val="1B9D302A"/>
    <w:rsid w:val="1BF446CE"/>
    <w:rsid w:val="1C2862A1"/>
    <w:rsid w:val="1C704031"/>
    <w:rsid w:val="1D271A66"/>
    <w:rsid w:val="1DCB47DF"/>
    <w:rsid w:val="1E402FBB"/>
    <w:rsid w:val="1E601115"/>
    <w:rsid w:val="1EB03217"/>
    <w:rsid w:val="1F000FB0"/>
    <w:rsid w:val="1F111AD7"/>
    <w:rsid w:val="1F2F2C5C"/>
    <w:rsid w:val="1F5A1E7F"/>
    <w:rsid w:val="1FA707DF"/>
    <w:rsid w:val="1FFE7B8C"/>
    <w:rsid w:val="203C025A"/>
    <w:rsid w:val="20775CA3"/>
    <w:rsid w:val="217A1AB1"/>
    <w:rsid w:val="22695B47"/>
    <w:rsid w:val="22E2280C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0C4844"/>
    <w:rsid w:val="271B2298"/>
    <w:rsid w:val="274452E4"/>
    <w:rsid w:val="274E3250"/>
    <w:rsid w:val="276D0D8C"/>
    <w:rsid w:val="286C33CA"/>
    <w:rsid w:val="28E4125D"/>
    <w:rsid w:val="29BB6A7E"/>
    <w:rsid w:val="29EC49AF"/>
    <w:rsid w:val="2AAA1BA4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E62328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5D3B80"/>
    <w:rsid w:val="31AB6974"/>
    <w:rsid w:val="31AF70F0"/>
    <w:rsid w:val="32D24F00"/>
    <w:rsid w:val="32D963A9"/>
    <w:rsid w:val="32ED21B4"/>
    <w:rsid w:val="331926DE"/>
    <w:rsid w:val="340F0DC0"/>
    <w:rsid w:val="34E83B73"/>
    <w:rsid w:val="35124AFB"/>
    <w:rsid w:val="35164EC9"/>
    <w:rsid w:val="35EE1AE6"/>
    <w:rsid w:val="36216ACD"/>
    <w:rsid w:val="36A05906"/>
    <w:rsid w:val="36AD5505"/>
    <w:rsid w:val="36DA0F95"/>
    <w:rsid w:val="36DB24F1"/>
    <w:rsid w:val="37846097"/>
    <w:rsid w:val="378C6825"/>
    <w:rsid w:val="37904E67"/>
    <w:rsid w:val="3797204C"/>
    <w:rsid w:val="37A771FF"/>
    <w:rsid w:val="37AD5C06"/>
    <w:rsid w:val="37B37AED"/>
    <w:rsid w:val="37DE1E16"/>
    <w:rsid w:val="37EF7DFA"/>
    <w:rsid w:val="380A1D4B"/>
    <w:rsid w:val="381108B8"/>
    <w:rsid w:val="38550743"/>
    <w:rsid w:val="38A54053"/>
    <w:rsid w:val="38D37D37"/>
    <w:rsid w:val="39312765"/>
    <w:rsid w:val="393A2055"/>
    <w:rsid w:val="399C1F0E"/>
    <w:rsid w:val="3A003CFF"/>
    <w:rsid w:val="3A1339C4"/>
    <w:rsid w:val="3A875DB4"/>
    <w:rsid w:val="3AF63590"/>
    <w:rsid w:val="3B06110B"/>
    <w:rsid w:val="3B9B7004"/>
    <w:rsid w:val="3BCF551C"/>
    <w:rsid w:val="3C212E36"/>
    <w:rsid w:val="3C87456A"/>
    <w:rsid w:val="3CA231F4"/>
    <w:rsid w:val="3CC50F8A"/>
    <w:rsid w:val="3CDC3CFC"/>
    <w:rsid w:val="3CFC20B7"/>
    <w:rsid w:val="3E694CE7"/>
    <w:rsid w:val="3E763B1C"/>
    <w:rsid w:val="3E835DD7"/>
    <w:rsid w:val="3EC819BA"/>
    <w:rsid w:val="3EDA09A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294BC5"/>
    <w:rsid w:val="47323108"/>
    <w:rsid w:val="474521D9"/>
    <w:rsid w:val="47745A50"/>
    <w:rsid w:val="47D51345"/>
    <w:rsid w:val="47E11557"/>
    <w:rsid w:val="48196B29"/>
    <w:rsid w:val="4885603F"/>
    <w:rsid w:val="491722FF"/>
    <w:rsid w:val="491D74A7"/>
    <w:rsid w:val="496D3435"/>
    <w:rsid w:val="497C7C2F"/>
    <w:rsid w:val="498307B4"/>
    <w:rsid w:val="49882B9B"/>
    <w:rsid w:val="49AF4809"/>
    <w:rsid w:val="49B324BE"/>
    <w:rsid w:val="4A262A1A"/>
    <w:rsid w:val="4A3763F6"/>
    <w:rsid w:val="4A5007FC"/>
    <w:rsid w:val="4A885383"/>
    <w:rsid w:val="4AE85958"/>
    <w:rsid w:val="4AF51ADF"/>
    <w:rsid w:val="4AFD5436"/>
    <w:rsid w:val="4B10456F"/>
    <w:rsid w:val="4B555481"/>
    <w:rsid w:val="4B7C2BF9"/>
    <w:rsid w:val="4B920728"/>
    <w:rsid w:val="4B9357A5"/>
    <w:rsid w:val="4BC67BFF"/>
    <w:rsid w:val="4C19263D"/>
    <w:rsid w:val="4C253F32"/>
    <w:rsid w:val="4C442E20"/>
    <w:rsid w:val="4C714499"/>
    <w:rsid w:val="4C7B5F5C"/>
    <w:rsid w:val="4C845F8F"/>
    <w:rsid w:val="4D0B1B6F"/>
    <w:rsid w:val="4D36566E"/>
    <w:rsid w:val="4DBB24B5"/>
    <w:rsid w:val="4E03467F"/>
    <w:rsid w:val="4EE91176"/>
    <w:rsid w:val="4EF96755"/>
    <w:rsid w:val="4EFF6E71"/>
    <w:rsid w:val="4F3156F2"/>
    <w:rsid w:val="4F7317CB"/>
    <w:rsid w:val="4F7C135A"/>
    <w:rsid w:val="4FC01EDA"/>
    <w:rsid w:val="4FC40DC5"/>
    <w:rsid w:val="50281CF3"/>
    <w:rsid w:val="509154B6"/>
    <w:rsid w:val="50BB4683"/>
    <w:rsid w:val="50EC10F9"/>
    <w:rsid w:val="517366DA"/>
    <w:rsid w:val="5177797E"/>
    <w:rsid w:val="52F6075F"/>
    <w:rsid w:val="53086FF5"/>
    <w:rsid w:val="530E1480"/>
    <w:rsid w:val="534D0228"/>
    <w:rsid w:val="53AB142E"/>
    <w:rsid w:val="53BF2025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4F07EE"/>
    <w:rsid w:val="58CE683B"/>
    <w:rsid w:val="593C4CF1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1A0D14"/>
    <w:rsid w:val="5F2B6724"/>
    <w:rsid w:val="603F4E62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A93030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704C49"/>
    <w:rsid w:val="689E76A5"/>
    <w:rsid w:val="68DB1AF2"/>
    <w:rsid w:val="68E0427F"/>
    <w:rsid w:val="68F75735"/>
    <w:rsid w:val="694757F4"/>
    <w:rsid w:val="69C56448"/>
    <w:rsid w:val="6A2B539C"/>
    <w:rsid w:val="6B3B48D5"/>
    <w:rsid w:val="6BBF4B8D"/>
    <w:rsid w:val="6C630660"/>
    <w:rsid w:val="6C6E6460"/>
    <w:rsid w:val="6C9165DC"/>
    <w:rsid w:val="6C9331C1"/>
    <w:rsid w:val="6CB02EF6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2876F1B"/>
    <w:rsid w:val="734F28D5"/>
    <w:rsid w:val="734F3820"/>
    <w:rsid w:val="73D55DF2"/>
    <w:rsid w:val="73D86220"/>
    <w:rsid w:val="73F11B0B"/>
    <w:rsid w:val="73F93641"/>
    <w:rsid w:val="7455119F"/>
    <w:rsid w:val="749B7B08"/>
    <w:rsid w:val="74B015AB"/>
    <w:rsid w:val="74BF00CF"/>
    <w:rsid w:val="74CF5344"/>
    <w:rsid w:val="75092336"/>
    <w:rsid w:val="75250E55"/>
    <w:rsid w:val="75786376"/>
    <w:rsid w:val="75F34010"/>
    <w:rsid w:val="765D45B4"/>
    <w:rsid w:val="76735213"/>
    <w:rsid w:val="772B072A"/>
    <w:rsid w:val="778F1D5A"/>
    <w:rsid w:val="7836349E"/>
    <w:rsid w:val="78475FF2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640151"/>
    <w:rsid w:val="7B651DA7"/>
    <w:rsid w:val="7B877F0B"/>
    <w:rsid w:val="7C1522E0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EE039A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tabs>
        <w:tab w:val="left" w:pos="630"/>
      </w:tabs>
      <w:ind w:firstLine="630"/>
      <w:textAlignment w:val="baseline"/>
    </w:pPr>
    <w:rPr>
      <w:sz w:val="20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7">
    <w:name w:val="Body Text First Indent 2"/>
    <w:basedOn w:val="3"/>
    <w:next w:val="6"/>
    <w:qFormat/>
    <w:uiPriority w:val="99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NormalCharacter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1990</Words>
  <Characters>181</Characters>
  <Lines>1</Lines>
  <Paragraphs>4</Paragraphs>
  <TotalTime>44</TotalTime>
  <ScaleCrop>false</ScaleCrop>
  <LinksUpToDate>false</LinksUpToDate>
  <CharactersWithSpaces>2167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cp:lastPrinted>2023-11-07T07:18:38Z</cp:lastPrinted>
  <dcterms:modified xsi:type="dcterms:W3CDTF">2023-11-07T07:19:11Z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