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eastAsia="方正小标宋_GBK"/>
          <w:sz w:val="44"/>
          <w:szCs w:val="44"/>
        </w:rPr>
      </w:pPr>
    </w:p>
    <w:p>
      <w:pPr>
        <w:spacing w:line="580" w:lineRule="exact"/>
        <w:ind w:firstLine="880" w:firstLineChars="200"/>
        <w:jc w:val="center"/>
        <w:rPr>
          <w:rFonts w:eastAsia="方正小标宋_GBK"/>
          <w:sz w:val="44"/>
          <w:szCs w:val="44"/>
        </w:rPr>
      </w:pPr>
    </w:p>
    <w:p>
      <w:pPr>
        <w:spacing w:line="580" w:lineRule="exact"/>
        <w:ind w:firstLine="880" w:firstLineChars="200"/>
        <w:jc w:val="center"/>
        <w:rPr>
          <w:rFonts w:eastAsia="方正小标宋_GBK"/>
          <w:sz w:val="44"/>
          <w:szCs w:val="44"/>
        </w:rPr>
      </w:pPr>
    </w:p>
    <w:p>
      <w:pPr>
        <w:spacing w:line="580" w:lineRule="exact"/>
        <w:ind w:firstLine="880" w:firstLineChars="200"/>
        <w:jc w:val="center"/>
        <w:rPr>
          <w:rFonts w:eastAsia="方正小标宋_GBK"/>
          <w:sz w:val="44"/>
          <w:szCs w:val="44"/>
        </w:rPr>
      </w:pPr>
    </w:p>
    <w:p>
      <w:pPr>
        <w:spacing w:line="580" w:lineRule="exact"/>
        <w:jc w:val="center"/>
        <w:rPr>
          <w:rFonts w:eastAsia="方正小标宋_GBK"/>
          <w:sz w:val="44"/>
          <w:szCs w:val="44"/>
        </w:rPr>
      </w:pPr>
      <w:r>
        <w:rPr>
          <w:rFonts w:eastAsia="方正小标宋_GBK"/>
          <w:sz w:val="44"/>
          <w:szCs w:val="44"/>
        </w:rPr>
        <w:t>202</w:t>
      </w:r>
      <w:r>
        <w:rPr>
          <w:rFonts w:hint="eastAsia" w:eastAsia="方正小标宋_GBK"/>
          <w:sz w:val="44"/>
          <w:szCs w:val="44"/>
        </w:rPr>
        <w:t>2</w:t>
      </w:r>
      <w:r>
        <w:rPr>
          <w:rFonts w:eastAsia="方正小标宋_GBK"/>
          <w:sz w:val="44"/>
          <w:szCs w:val="44"/>
        </w:rPr>
        <w:t>年度株洲市芦淞区发展和改革局</w:t>
      </w:r>
    </w:p>
    <w:p>
      <w:pPr>
        <w:spacing w:line="580" w:lineRule="exact"/>
        <w:jc w:val="center"/>
        <w:rPr>
          <w:rFonts w:eastAsia="方正小标宋_GBK"/>
          <w:sz w:val="44"/>
          <w:szCs w:val="44"/>
        </w:rPr>
      </w:pPr>
      <w:r>
        <w:rPr>
          <w:rFonts w:eastAsia="方正小标宋_GBK"/>
          <w:sz w:val="44"/>
          <w:szCs w:val="44"/>
        </w:rPr>
        <w:t>整体支出绩效自评报告</w:t>
      </w:r>
    </w:p>
    <w:p>
      <w:pPr>
        <w:spacing w:line="580" w:lineRule="exact"/>
        <w:ind w:firstLine="640" w:firstLineChars="200"/>
        <w:jc w:val="center"/>
        <w:rPr>
          <w:rFonts w:eastAsia="楷体_GB2312"/>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640" w:firstLineChars="200"/>
        <w:jc w:val="center"/>
        <w:rPr>
          <w:rFonts w:eastAsia="黑体"/>
          <w:sz w:val="32"/>
          <w:szCs w:val="32"/>
        </w:rPr>
      </w:pPr>
    </w:p>
    <w:p>
      <w:pPr>
        <w:spacing w:line="580" w:lineRule="exact"/>
        <w:ind w:firstLine="880" w:firstLineChars="200"/>
        <w:jc w:val="center"/>
        <w:rPr>
          <w:rFonts w:eastAsia="黑体"/>
          <w:sz w:val="44"/>
          <w:szCs w:val="44"/>
        </w:rPr>
      </w:pPr>
    </w:p>
    <w:p>
      <w:pPr>
        <w:spacing w:line="580" w:lineRule="exact"/>
        <w:ind w:firstLine="880" w:firstLineChars="200"/>
        <w:jc w:val="center"/>
        <w:rPr>
          <w:rFonts w:eastAsia="黑体"/>
          <w:sz w:val="44"/>
          <w:szCs w:val="44"/>
        </w:rPr>
      </w:pPr>
    </w:p>
    <w:p>
      <w:pPr>
        <w:spacing w:line="580" w:lineRule="exact"/>
        <w:ind w:firstLine="880" w:firstLineChars="200"/>
        <w:jc w:val="center"/>
        <w:rPr>
          <w:rFonts w:eastAsia="黑体"/>
          <w:sz w:val="44"/>
          <w:szCs w:val="44"/>
        </w:rPr>
      </w:pPr>
    </w:p>
    <w:p>
      <w:pPr>
        <w:spacing w:line="580" w:lineRule="exact"/>
        <w:ind w:firstLine="880" w:firstLineChars="200"/>
        <w:jc w:val="center"/>
        <w:rPr>
          <w:rFonts w:eastAsia="黑体"/>
          <w:sz w:val="44"/>
          <w:szCs w:val="44"/>
        </w:rPr>
      </w:pPr>
    </w:p>
    <w:p>
      <w:pPr>
        <w:spacing w:line="580" w:lineRule="exact"/>
        <w:ind w:firstLine="880" w:firstLineChars="200"/>
        <w:jc w:val="center"/>
        <w:rPr>
          <w:rFonts w:eastAsia="黑体"/>
          <w:sz w:val="44"/>
          <w:szCs w:val="44"/>
        </w:rPr>
      </w:pPr>
    </w:p>
    <w:p>
      <w:pPr>
        <w:spacing w:line="580" w:lineRule="exact"/>
        <w:ind w:firstLine="720" w:firstLineChars="200"/>
        <w:rPr>
          <w:rFonts w:eastAsia="黑体"/>
          <w:sz w:val="36"/>
          <w:szCs w:val="36"/>
        </w:rPr>
      </w:pPr>
    </w:p>
    <w:p>
      <w:pPr>
        <w:spacing w:line="580" w:lineRule="exact"/>
        <w:ind w:firstLine="640" w:firstLineChars="200"/>
        <w:rPr>
          <w:rFonts w:eastAsia="黑体"/>
          <w:sz w:val="32"/>
          <w:szCs w:val="32"/>
        </w:rPr>
      </w:pPr>
    </w:p>
    <w:p>
      <w:pPr>
        <w:spacing w:line="580" w:lineRule="exact"/>
        <w:ind w:firstLine="640" w:firstLineChars="200"/>
        <w:rPr>
          <w:rFonts w:eastAsia="黑体"/>
          <w:sz w:val="32"/>
          <w:szCs w:val="32"/>
        </w:rPr>
      </w:pPr>
    </w:p>
    <w:p>
      <w:pPr>
        <w:spacing w:line="580" w:lineRule="exact"/>
        <w:ind w:firstLine="640" w:firstLineChars="200"/>
        <w:rPr>
          <w:rFonts w:eastAsia="黑体"/>
          <w:sz w:val="32"/>
          <w:szCs w:val="32"/>
        </w:rPr>
      </w:pPr>
    </w:p>
    <w:p>
      <w:pPr>
        <w:spacing w:line="580" w:lineRule="exact"/>
        <w:ind w:firstLine="640" w:firstLineChars="200"/>
        <w:rPr>
          <w:rFonts w:eastAsia="黑体"/>
          <w:sz w:val="32"/>
          <w:szCs w:val="32"/>
        </w:rPr>
      </w:pPr>
    </w:p>
    <w:p>
      <w:pPr>
        <w:spacing w:line="580" w:lineRule="exact"/>
        <w:ind w:firstLine="640" w:firstLineChars="200"/>
        <w:rPr>
          <w:rFonts w:eastAsia="黑体"/>
          <w:sz w:val="32"/>
          <w:szCs w:val="32"/>
        </w:rPr>
      </w:pPr>
      <w:r>
        <w:rPr>
          <w:rFonts w:eastAsia="黑体"/>
          <w:sz w:val="32"/>
          <w:szCs w:val="32"/>
        </w:rPr>
        <w:t>一、基本情况</w:t>
      </w:r>
    </w:p>
    <w:p>
      <w:pPr>
        <w:spacing w:line="580" w:lineRule="exact"/>
        <w:ind w:firstLine="640" w:firstLineChars="200"/>
        <w:rPr>
          <w:rFonts w:eastAsia="楷体_GB2312"/>
          <w:sz w:val="32"/>
          <w:szCs w:val="32"/>
        </w:rPr>
      </w:pPr>
      <w:r>
        <w:rPr>
          <w:rFonts w:eastAsia="楷体_GB2312"/>
          <w:sz w:val="32"/>
          <w:szCs w:val="32"/>
        </w:rPr>
        <w:t>（一）部门基本情况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拟订并组织实施全区国民经济和社会发展战略、中长期规划和年度计划；负责区级专项规划、区域规划、空间规划与全区发展规划的统筹衔接；提出全区国民经济发展建议，受区人民政府委托向区人民代表大会提交国民经济和社会发展计划报告。</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研究提出加快建设现代化经济体系、推动高质量发展的总体目标、重大任务以及相关政策。组织开展重大战略规划、重大政策、重大工程等评估督导，提出相关调整建议。</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研究拟定全区国民经济和社会发展主要目标；预测研判全区经济运行趋势，提出调控政策和建议；调节国民经济运行，协调经济运行中的重大问题。</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指导推进和综合协调全区经济体制改革，提出相关政策建议；牵头推进供给侧结构性改革；协调推进产权制度和要素市场化配置改革，推动完善基本经济制度和现代市场体系建设，会同相关部门组织实施市场准入负面清单制度；组织拟订综合性经济体制改革方案，协调有关专项经济体制改革。</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负责协调第一、二、三产业发展的重大问题并组织拟订综合性产业政策，协调农业农村经济社会发展的重大问题；组织拟订并推动实施全区服务业和现代物流业发展规划和重大政策。</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参与制定财政、金融、土地政策并综合分析政策执行效果；承担企业债券发行的信息收集和上报工作。</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组织编制全区“两型”社会建设综合配套改革总体实施方案，指导、协调全区“两型社会”建设综合配套改革的有关工作。</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负责社会发展与国民经济发展的政策衔接；协调社会领域事业和产业发展政策及改革重大问题。</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拟订全区全社会固定资产投资总规模；规划重大项目和生产力布局；研究提出中长期和年度区重点建设项目规划与计划；统筹安排区级财政性建设资金和投资项目，编制下达政府投资项目年度计划。</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按规定权限审批、核准、审核、备案项目；核准区投区建项目的工程建设项目招标方式、招标组织形式和招标范围；承担政府投资项目代建制实施的指导、协调和监督管理工作；负责组织对政府投资项目进行评审。</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负责节能的综合协调工作，组织拟订绿色发展和循环经济、能源资源节约和综合利用规划、政策并协调实施。牵头组织实施新能源有关工作。</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贯彻执行国家价格方针、政策、法律和法规，负责在全区实施上级部门下达的价格改革和价格调整方案；监督管理全区行政事业性收费及服务价格工作；对重要商品和服务价格变动进行动态监控；负责价格调节基金的申报和管理；负责全区涉案物品价格认证工作及价格咨询服务。</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13.</w:t>
      </w:r>
      <w:r>
        <w:rPr>
          <w:rFonts w:eastAsia="仿宋_GB2312"/>
          <w:sz w:val="32"/>
          <w:szCs w:val="32"/>
        </w:rPr>
        <w:t>拟订全区推进社会信用体系建设的规章、规划、政策措施，统筹推进全区信用信息平台建设，协调有关重大问题。</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组织和实施全区国民经济动员有关工作。</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完成区委、区政府交办的其他任务。</w:t>
      </w:r>
    </w:p>
    <w:p>
      <w:pPr>
        <w:spacing w:line="580" w:lineRule="exact"/>
        <w:ind w:firstLine="640" w:firstLineChars="200"/>
        <w:rPr>
          <w:rFonts w:eastAsia="楷体_GB2312"/>
          <w:sz w:val="32"/>
          <w:szCs w:val="32"/>
        </w:rPr>
      </w:pPr>
      <w:r>
        <w:rPr>
          <w:rFonts w:eastAsia="楷体_GB2312"/>
          <w:sz w:val="32"/>
          <w:szCs w:val="32"/>
        </w:rPr>
        <w:t>（二）部门（单位）年度整体支出绩效目标，部门专项资金绩效目标、其他项目支出（除省级专项资金以外）绩效目标</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全年实现</w:t>
      </w:r>
      <w:r>
        <w:rPr>
          <w:rFonts w:hint="eastAsia" w:eastAsia="仿宋_GB2312"/>
          <w:sz w:val="32"/>
          <w:szCs w:val="32"/>
        </w:rPr>
        <w:t>参政设谋能力进一步提升；</w:t>
      </w:r>
      <w:r>
        <w:rPr>
          <w:rFonts w:eastAsia="仿宋_GB2312"/>
          <w:sz w:val="32"/>
          <w:szCs w:val="32"/>
        </w:rPr>
        <w:t>重点建设项目高质量快速推进；重大项目前期工作成效显著；固定资产投资势头佳；</w:t>
      </w:r>
      <w:r>
        <w:rPr>
          <w:rFonts w:hint="eastAsia" w:eastAsia="仿宋_GB2312"/>
          <w:sz w:val="32"/>
          <w:szCs w:val="32"/>
        </w:rPr>
        <w:t>争资引项有新突破；</w:t>
      </w:r>
      <w:r>
        <w:rPr>
          <w:rFonts w:eastAsia="仿宋_GB2312"/>
          <w:sz w:val="32"/>
          <w:szCs w:val="32"/>
        </w:rPr>
        <w:t>节能宣传及新能源工作有序</w:t>
      </w:r>
      <w:r>
        <w:rPr>
          <w:rFonts w:hint="eastAsia" w:eastAsia="仿宋_GB2312"/>
          <w:sz w:val="32"/>
          <w:szCs w:val="32"/>
        </w:rPr>
        <w:t>开展</w:t>
      </w:r>
      <w:r>
        <w:rPr>
          <w:rFonts w:eastAsia="仿宋_GB2312"/>
          <w:sz w:val="32"/>
          <w:szCs w:val="32"/>
        </w:rPr>
        <w:t>；</w:t>
      </w:r>
      <w:r>
        <w:rPr>
          <w:rFonts w:hint="eastAsia" w:eastAsia="仿宋_GB2312"/>
          <w:sz w:val="32"/>
          <w:szCs w:val="32"/>
        </w:rPr>
        <w:t>社会信用体系建设稳步推进；</w:t>
      </w:r>
      <w:r>
        <w:rPr>
          <w:rFonts w:eastAsia="仿宋_GB2312"/>
          <w:sz w:val="32"/>
          <w:szCs w:val="32"/>
        </w:rPr>
        <w:t>涉案物价格</w:t>
      </w:r>
      <w:r>
        <w:rPr>
          <w:rFonts w:hint="eastAsia" w:eastAsia="仿宋_GB2312"/>
          <w:sz w:val="32"/>
          <w:szCs w:val="32"/>
        </w:rPr>
        <w:t>认定</w:t>
      </w:r>
      <w:r>
        <w:rPr>
          <w:rFonts w:eastAsia="仿宋_GB2312"/>
          <w:sz w:val="32"/>
          <w:szCs w:val="32"/>
        </w:rPr>
        <w:t>无误高效；上级交办任务及单位职能高效落实。</w:t>
      </w:r>
    </w:p>
    <w:p>
      <w:pPr>
        <w:pStyle w:val="7"/>
        <w:spacing w:line="58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spacing w:line="580" w:lineRule="exact"/>
        <w:ind w:firstLine="640" w:firstLineChars="200"/>
        <w:rPr>
          <w:rFonts w:ascii="楷体" w:hAnsi="楷体" w:eastAsia="楷体"/>
          <w:sz w:val="32"/>
          <w:szCs w:val="32"/>
        </w:rPr>
      </w:pPr>
      <w:r>
        <w:rPr>
          <w:rFonts w:ascii="楷体" w:hAnsi="楷体" w:eastAsia="楷体"/>
          <w:sz w:val="32"/>
          <w:szCs w:val="32"/>
        </w:rPr>
        <w:t>（一）基本支出情况</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2022</w:t>
      </w:r>
      <w:r>
        <w:rPr>
          <w:rFonts w:eastAsia="仿宋_GB2312"/>
          <w:sz w:val="32"/>
          <w:szCs w:val="32"/>
        </w:rPr>
        <w:t>年预算资金</w:t>
      </w:r>
      <w:r>
        <w:rPr>
          <w:rFonts w:hint="eastAsia" w:eastAsia="仿宋_GB2312"/>
          <w:sz w:val="32"/>
          <w:szCs w:val="32"/>
        </w:rPr>
        <w:t>321.83</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2022</w:t>
      </w:r>
      <w:r>
        <w:rPr>
          <w:rFonts w:eastAsia="仿宋_GB2312"/>
          <w:sz w:val="32"/>
          <w:szCs w:val="32"/>
        </w:rPr>
        <w:t>年度单位一般公共预算财政拨款收入</w:t>
      </w:r>
      <w:r>
        <w:rPr>
          <w:rFonts w:hint="eastAsia" w:eastAsia="仿宋_GB2312"/>
          <w:sz w:val="32"/>
          <w:szCs w:val="32"/>
        </w:rPr>
        <w:t>408.93</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2022</w:t>
      </w:r>
      <w:r>
        <w:rPr>
          <w:rFonts w:eastAsia="仿宋_GB2312"/>
          <w:sz w:val="32"/>
          <w:szCs w:val="32"/>
        </w:rPr>
        <w:t>年度单位一般公共预算财政拨款支出</w:t>
      </w:r>
      <w:r>
        <w:rPr>
          <w:rFonts w:hint="eastAsia" w:eastAsia="仿宋_GB2312"/>
          <w:sz w:val="32"/>
          <w:szCs w:val="32"/>
        </w:rPr>
        <w:t>408.93</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其中：项目支出</w:t>
      </w:r>
      <w:r>
        <w:rPr>
          <w:rFonts w:hint="eastAsia" w:eastAsia="仿宋_GB2312"/>
          <w:sz w:val="32"/>
          <w:szCs w:val="32"/>
        </w:rPr>
        <w:t>109.86</w:t>
      </w:r>
      <w:r>
        <w:rPr>
          <w:rFonts w:eastAsia="仿宋_GB2312"/>
          <w:sz w:val="32"/>
          <w:szCs w:val="32"/>
        </w:rPr>
        <w:t>万元，基本支出</w:t>
      </w:r>
      <w:r>
        <w:rPr>
          <w:rFonts w:hint="eastAsia" w:eastAsia="仿宋_GB2312"/>
          <w:sz w:val="32"/>
          <w:szCs w:val="32"/>
        </w:rPr>
        <w:t>299.07</w:t>
      </w:r>
      <w:r>
        <w:rPr>
          <w:rFonts w:eastAsia="仿宋_GB2312"/>
          <w:sz w:val="32"/>
          <w:szCs w:val="32"/>
        </w:rPr>
        <w:t>万元，其中：人员经费</w:t>
      </w:r>
      <w:r>
        <w:rPr>
          <w:rFonts w:hint="eastAsia" w:eastAsia="仿宋_GB2312"/>
          <w:sz w:val="32"/>
          <w:szCs w:val="32"/>
        </w:rPr>
        <w:t>257.09</w:t>
      </w:r>
      <w:r>
        <w:rPr>
          <w:rFonts w:eastAsia="仿宋_GB2312"/>
          <w:sz w:val="32"/>
          <w:szCs w:val="32"/>
        </w:rPr>
        <w:t>万元，公用经费</w:t>
      </w:r>
      <w:r>
        <w:rPr>
          <w:rFonts w:hint="eastAsia" w:eastAsia="仿宋_GB2312"/>
          <w:sz w:val="32"/>
          <w:szCs w:val="32"/>
        </w:rPr>
        <w:t>41.98</w:t>
      </w:r>
      <w:r>
        <w:rPr>
          <w:rFonts w:eastAsia="仿宋_GB2312"/>
          <w:sz w:val="32"/>
          <w:szCs w:val="32"/>
        </w:rPr>
        <w:t>万元。</w:t>
      </w:r>
    </w:p>
    <w:p>
      <w:pPr>
        <w:pStyle w:val="7"/>
        <w:spacing w:line="580" w:lineRule="exact"/>
        <w:ind w:firstLine="64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项目支出情况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全年项目支出109.86万元，其中含：</w:t>
      </w:r>
      <w:r>
        <w:rPr>
          <w:rFonts w:eastAsia="仿宋_GB2312"/>
          <w:sz w:val="32"/>
          <w:szCs w:val="32"/>
        </w:rPr>
        <w:t>1</w:t>
      </w:r>
      <w:r>
        <w:rPr>
          <w:rFonts w:hint="eastAsia" w:eastAsia="仿宋_GB2312"/>
          <w:sz w:val="32"/>
          <w:szCs w:val="32"/>
        </w:rPr>
        <w:t>.三个高地指挥部专项工作经费9.86万元</w:t>
      </w:r>
      <w:r>
        <w:rPr>
          <w:rFonts w:eastAsia="仿宋_GB2312"/>
          <w:sz w:val="32"/>
          <w:szCs w:val="32"/>
        </w:rPr>
        <w:t>；2</w:t>
      </w:r>
      <w:r>
        <w:rPr>
          <w:rFonts w:hint="eastAsia" w:eastAsia="仿宋_GB2312"/>
          <w:sz w:val="32"/>
          <w:szCs w:val="32"/>
        </w:rPr>
        <w:t>.</w:t>
      </w:r>
      <w:r>
        <w:rPr>
          <w:rFonts w:eastAsia="仿宋_GB2312"/>
          <w:sz w:val="32"/>
          <w:szCs w:val="32"/>
        </w:rPr>
        <w:t>发改综合业务经费</w:t>
      </w:r>
      <w:r>
        <w:rPr>
          <w:rFonts w:hint="eastAsia" w:eastAsia="仿宋_GB2312"/>
          <w:sz w:val="32"/>
          <w:szCs w:val="32"/>
        </w:rPr>
        <w:t>24.15</w:t>
      </w:r>
      <w:r>
        <w:rPr>
          <w:rFonts w:eastAsia="仿宋_GB2312"/>
          <w:sz w:val="32"/>
          <w:szCs w:val="32"/>
        </w:rPr>
        <w:t>万元；</w:t>
      </w:r>
      <w:r>
        <w:rPr>
          <w:rFonts w:hint="eastAsia" w:eastAsia="仿宋_GB2312"/>
          <w:sz w:val="32"/>
          <w:szCs w:val="32"/>
        </w:rPr>
        <w:t>3.粮食专项19.51万元；4.</w:t>
      </w:r>
      <w:r>
        <w:rPr>
          <w:rFonts w:eastAsia="仿宋_GB2312"/>
          <w:sz w:val="32"/>
          <w:szCs w:val="32"/>
        </w:rPr>
        <w:t>社会信用体系建设工作经费</w:t>
      </w:r>
      <w:r>
        <w:rPr>
          <w:rFonts w:hint="eastAsia" w:eastAsia="仿宋_GB2312"/>
          <w:sz w:val="32"/>
          <w:szCs w:val="32"/>
        </w:rPr>
        <w:t>1.33</w:t>
      </w:r>
      <w:r>
        <w:rPr>
          <w:rFonts w:eastAsia="仿宋_GB2312"/>
          <w:sz w:val="32"/>
          <w:szCs w:val="32"/>
        </w:rPr>
        <w:t>万元；</w:t>
      </w:r>
      <w:r>
        <w:rPr>
          <w:rFonts w:hint="eastAsia" w:eastAsia="仿宋_GB2312"/>
          <w:sz w:val="32"/>
          <w:szCs w:val="32"/>
        </w:rPr>
        <w:t>5.</w:t>
      </w:r>
      <w:r>
        <w:rPr>
          <w:rFonts w:eastAsia="仿宋_GB2312"/>
          <w:sz w:val="32"/>
          <w:szCs w:val="32"/>
        </w:rPr>
        <w:t>上级经费</w:t>
      </w:r>
      <w:r>
        <w:rPr>
          <w:rFonts w:hint="eastAsia" w:eastAsia="仿宋_GB2312"/>
          <w:sz w:val="32"/>
          <w:szCs w:val="32"/>
        </w:rPr>
        <w:t>55.00</w:t>
      </w:r>
      <w:r>
        <w:rPr>
          <w:rFonts w:eastAsia="仿宋_GB2312"/>
          <w:sz w:val="32"/>
          <w:szCs w:val="32"/>
        </w:rPr>
        <w:t>万元</w:t>
      </w:r>
      <w:r>
        <w:rPr>
          <w:rFonts w:hint="eastAsia" w:eastAsia="仿宋_GB2312"/>
          <w:sz w:val="32"/>
          <w:szCs w:val="32"/>
        </w:rPr>
        <w:t>。</w:t>
      </w:r>
    </w:p>
    <w:p>
      <w:pPr>
        <w:pStyle w:val="7"/>
        <w:numPr>
          <w:ilvl w:val="0"/>
          <w:numId w:val="1"/>
        </w:numPr>
        <w:spacing w:line="58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2022</w:t>
      </w:r>
      <w:r>
        <w:rPr>
          <w:rFonts w:eastAsia="仿宋_GB2312"/>
          <w:sz w:val="32"/>
          <w:szCs w:val="32"/>
        </w:rPr>
        <w:t>年度政府性基金预算财政拨款收入5.0万元；年初结转和结余0万元；支出5.0万元</w:t>
      </w:r>
      <w:r>
        <w:rPr>
          <w:rFonts w:hint="eastAsia" w:eastAsia="仿宋_GB2312"/>
          <w:sz w:val="32"/>
          <w:szCs w:val="32"/>
        </w:rPr>
        <w:t>，</w:t>
      </w:r>
      <w:r>
        <w:rPr>
          <w:rFonts w:eastAsia="仿宋_GB2312"/>
          <w:sz w:val="32"/>
          <w:szCs w:val="32"/>
        </w:rPr>
        <w:t>其中基本支出0万元，项目支出5.0万元（区现代服务业专项规划工作经费）；年末结转和结余0万元。</w:t>
      </w:r>
    </w:p>
    <w:p>
      <w:pPr>
        <w:pStyle w:val="7"/>
        <w:numPr>
          <w:ilvl w:val="0"/>
          <w:numId w:val="1"/>
        </w:numPr>
        <w:spacing w:line="58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7"/>
        <w:spacing w:line="580" w:lineRule="exact"/>
        <w:ind w:firstLine="640"/>
        <w:rPr>
          <w:rFonts w:ascii="Times New Roman" w:hAnsi="Times New Roman" w:eastAsia="仿宋"/>
          <w:sz w:val="32"/>
          <w:szCs w:val="32"/>
        </w:rPr>
      </w:pPr>
      <w:r>
        <w:rPr>
          <w:rFonts w:ascii="Times New Roman" w:hAnsi="Times New Roman" w:eastAsia="仿宋"/>
          <w:sz w:val="32"/>
          <w:szCs w:val="32"/>
        </w:rPr>
        <w:t>无</w:t>
      </w:r>
      <w:r>
        <w:rPr>
          <w:rFonts w:hint="eastAsia" w:ascii="Times New Roman" w:hAnsi="Times New Roman" w:eastAsia="仿宋"/>
          <w:sz w:val="32"/>
          <w:szCs w:val="32"/>
        </w:rPr>
        <w:t>。</w:t>
      </w:r>
    </w:p>
    <w:p>
      <w:pPr>
        <w:pStyle w:val="7"/>
        <w:numPr>
          <w:ilvl w:val="0"/>
          <w:numId w:val="2"/>
        </w:numPr>
        <w:spacing w:line="58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spacing w:line="580" w:lineRule="exact"/>
        <w:ind w:firstLine="640" w:firstLineChars="200"/>
        <w:rPr>
          <w:rFonts w:eastAsia="仿宋"/>
          <w:sz w:val="32"/>
          <w:szCs w:val="32"/>
        </w:rPr>
      </w:pPr>
      <w:r>
        <w:rPr>
          <w:rFonts w:eastAsia="仿宋"/>
          <w:sz w:val="32"/>
          <w:szCs w:val="32"/>
        </w:rPr>
        <w:t>无</w:t>
      </w:r>
      <w:r>
        <w:rPr>
          <w:rFonts w:hint="eastAsia" w:eastAsia="仿宋"/>
          <w:sz w:val="32"/>
          <w:szCs w:val="32"/>
        </w:rPr>
        <w:t>。</w:t>
      </w:r>
    </w:p>
    <w:p>
      <w:pPr>
        <w:spacing w:line="580" w:lineRule="exact"/>
        <w:ind w:firstLine="640" w:firstLineChars="200"/>
        <w:rPr>
          <w:rFonts w:eastAsia="黑体"/>
          <w:sz w:val="32"/>
          <w:szCs w:val="32"/>
        </w:rPr>
      </w:pPr>
      <w:r>
        <w:rPr>
          <w:rFonts w:eastAsia="黑体"/>
          <w:sz w:val="32"/>
          <w:szCs w:val="32"/>
        </w:rPr>
        <w:t>六、资金使用及绩效情况</w:t>
      </w:r>
    </w:p>
    <w:p>
      <w:pPr>
        <w:spacing w:line="580" w:lineRule="exact"/>
        <w:ind w:firstLine="640" w:firstLineChars="200"/>
        <w:rPr>
          <w:rFonts w:ascii="楷体" w:hAnsi="楷体" w:eastAsia="楷体"/>
          <w:sz w:val="32"/>
          <w:szCs w:val="32"/>
        </w:rPr>
      </w:pPr>
      <w:r>
        <w:rPr>
          <w:rFonts w:ascii="楷体" w:hAnsi="楷体" w:eastAsia="楷体"/>
          <w:sz w:val="32"/>
          <w:szCs w:val="32"/>
        </w:rPr>
        <w:t>(一）部门整体支出绩效情况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聚焦主责主业，紧盯项目狠抓投资。一是项目建设大干快上。深入贯彻落实“151”实施方案，开展“项目大攻坚”，铺排重点建设项目73个，年度投资110亿元。1-10月，实现项目开工27个、竣工17个，完成投资68.19亿，为年度计划的62%。同时，严格落实国务院33条稳经济措施，储备重大基础设施建设项目128个，总投资1382.8亿元；铺排2022年区本级政府投资计划项目36个，拟由区级财政安排资金2771.3万元。二是积极应对固定资产投资增速下滑挑战。自4月以来，受大项目、好项目不多，投资项目结构欠优，投资需求相对不足等诸多因素影响，我区固定资产投资增长出现波动，出现负增长；1-10月完成固定资产投资135.2亿元，增速-39.4%。下一步将全力抓好固投入统工作，力争投资增速稳步提升，缩小差距。三是争资争项成效明显。截至目前，中央、省预算内资金方面，已下达资金750万元；储备2023年中央预算内资金项目14个，资金需求3.68亿元。专项债方面，已成功发行项目5个，发行债券金额6.43亿元；储备2023年地方政府专项债项目17个，资金需求63.96亿元。政策性融资专项方面，制造业中长期贷款项目获批3个，贷款总需求9500万元；设备购置与更新改造贴息贷款项目获批1个，贷款需求2000万元。</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2.扛牢重点任务，精准施策担当实干。一是扎实推进“三个高地”建设。牵头成立了打造“三个高地”指挥部，按照“工作项目化、项目清单化、团队专业化、管理扁平化”工作思路，细化量化全年工作任务，精准倒排项目计划，加快形成可视化、可追溯、可管控的工作推进体系，推动各项工作按时序实施。二是积极培育壮大市场主体。由我局牵头专门开展“市场主体培育年”活动，对标市级出台我区培育壮大市场主体实施意见，实施“五大攻坚行动”、“四大工程”、“四大计划”。截至目前，市场主体净增11818户，企业净增2319户，分别为年度任务的117.6%、72.9%；完成“个转企”290家。三是多措并举助推“双碳”电网建设。投资4.2亿元的白关变电站站内部分已于6月底完成竣工验收，并于9月投产送电；投资1.2亿元的枫溪变电站已完成土地调规和征地拆迁工作，正在进行基础施工。推行“村（社）电共治”合作模式，组织召开了合作协议签约大会，畅通供电服务最后“一公里”。</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3.突出民生为本，提优服务外树形象。项目审批方面，截至目前，完成项目审批150件，未发生一起行政复议。严格落实政府投资项目管理办法，已办理工程变更3个，正在办理7个，未新增一起超估超概项目。物价工作方面，完成中小学同层次学校食堂收费标准定价，开展阶段性价格补贴困难群众、教育收费专项检查、月饼市场监管、农业水价综合改革等工作。同时，配合公检法开展涉案物价格鉴定工作；截至目前，办案114件，涉案金额共计53.17万元，未发生一起行政复议。粮食工作方面，扛牢粮食安全政治责任，成功处置2021年全省粮食库存质量检查中发现的1831吨镉超标稻谷，完成了2022年1831吨区级储备粮轮换任务，开展了地方临储粮收购、地方储备粮监督检查、粮食专项整治“回头看”等工作，确保我区储备粮数量真实、质量可靠、储存安全。此外，安全生产、社会信用体系建设、节能监管、长株潭都市圈、国防经济动员等工作都有长足进步。</w:t>
      </w:r>
    </w:p>
    <w:p>
      <w:pPr>
        <w:spacing w:line="580" w:lineRule="exact"/>
        <w:ind w:firstLine="640" w:firstLineChars="200"/>
        <w:rPr>
          <w:rFonts w:ascii="楷体" w:hAnsi="楷体" w:eastAsia="楷体"/>
          <w:sz w:val="32"/>
          <w:szCs w:val="32"/>
        </w:rPr>
      </w:pPr>
      <w:r>
        <w:rPr>
          <w:rFonts w:ascii="楷体" w:hAnsi="楷体" w:eastAsia="楷体"/>
          <w:sz w:val="32"/>
          <w:szCs w:val="32"/>
        </w:rPr>
        <w:t>（二）专项资金支出绩效情况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2022</w:t>
      </w:r>
      <w:r>
        <w:rPr>
          <w:rFonts w:eastAsia="仿宋_GB2312"/>
          <w:sz w:val="32"/>
          <w:szCs w:val="32"/>
        </w:rPr>
        <w:t>年，年初预算安排发改综合业务</w:t>
      </w:r>
      <w:r>
        <w:rPr>
          <w:rFonts w:hint="eastAsia" w:eastAsia="仿宋_GB2312"/>
          <w:sz w:val="32"/>
          <w:szCs w:val="32"/>
        </w:rPr>
        <w:t>经费1</w:t>
      </w:r>
      <w:r>
        <w:rPr>
          <w:rFonts w:eastAsia="仿宋_GB2312"/>
          <w:sz w:val="32"/>
          <w:szCs w:val="32"/>
        </w:rPr>
        <w:t>个专项资金，预算金额</w:t>
      </w:r>
      <w:r>
        <w:rPr>
          <w:rFonts w:hint="eastAsia" w:eastAsia="仿宋_GB2312"/>
          <w:sz w:val="32"/>
          <w:szCs w:val="32"/>
        </w:rPr>
        <w:t xml:space="preserve"> 30</w:t>
      </w:r>
      <w:r>
        <w:rPr>
          <w:rFonts w:eastAsia="仿宋_GB2312"/>
          <w:sz w:val="32"/>
          <w:szCs w:val="32"/>
        </w:rPr>
        <w:t>万元，全年实际支出</w:t>
      </w:r>
      <w:r>
        <w:rPr>
          <w:rFonts w:hint="eastAsia" w:eastAsia="仿宋_GB2312"/>
          <w:sz w:val="32"/>
          <w:szCs w:val="32"/>
        </w:rPr>
        <w:t>109.86</w:t>
      </w:r>
      <w:r>
        <w:rPr>
          <w:rFonts w:eastAsia="仿宋_GB2312"/>
          <w:sz w:val="32"/>
          <w:szCs w:val="32"/>
        </w:rPr>
        <w:t>万元。</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发改综合业务经费。项目预算安排</w:t>
      </w:r>
      <w:r>
        <w:rPr>
          <w:rFonts w:hint="eastAsia" w:eastAsia="仿宋_GB2312"/>
          <w:sz w:val="32"/>
          <w:szCs w:val="32"/>
        </w:rPr>
        <w:t>30</w:t>
      </w:r>
      <w:r>
        <w:rPr>
          <w:rFonts w:eastAsia="仿宋_GB2312"/>
          <w:sz w:val="32"/>
          <w:szCs w:val="32"/>
        </w:rPr>
        <w:t xml:space="preserve">万元，实际支出 </w:t>
      </w:r>
      <w:r>
        <w:rPr>
          <w:rFonts w:hint="eastAsia" w:eastAsia="仿宋_GB2312"/>
          <w:sz w:val="32"/>
          <w:szCs w:val="32"/>
        </w:rPr>
        <w:t>24.15</w:t>
      </w:r>
      <w:r>
        <w:rPr>
          <w:rFonts w:eastAsia="仿宋_GB2312"/>
          <w:sz w:val="32"/>
          <w:szCs w:val="32"/>
        </w:rPr>
        <w:t>万元</w:t>
      </w:r>
      <w:r>
        <w:rPr>
          <w:rFonts w:hint="eastAsia" w:eastAsia="仿宋_GB2312"/>
          <w:sz w:val="32"/>
          <w:szCs w:val="32"/>
        </w:rPr>
        <w:t>，剩余资金将于次年支付</w:t>
      </w:r>
      <w:r>
        <w:rPr>
          <w:rFonts w:eastAsia="仿宋_GB2312"/>
          <w:sz w:val="32"/>
          <w:szCs w:val="32"/>
        </w:rPr>
        <w:t>。该项经费主要用于保障</w:t>
      </w:r>
      <w:r>
        <w:rPr>
          <w:rFonts w:hint="eastAsia" w:eastAsia="仿宋_GB2312"/>
          <w:sz w:val="32"/>
          <w:szCs w:val="32"/>
        </w:rPr>
        <w:t>规划编制与实施、争资争项、</w:t>
      </w:r>
      <w:r>
        <w:rPr>
          <w:rFonts w:eastAsia="仿宋_GB2312"/>
          <w:sz w:val="32"/>
          <w:szCs w:val="32"/>
        </w:rPr>
        <w:t>项目前期、“产业项目攻坚年”活动、节能和新能源、物价、两型建设等工作</w:t>
      </w:r>
      <w:r>
        <w:rPr>
          <w:rFonts w:hint="eastAsia" w:eastAsia="仿宋_GB2312"/>
          <w:sz w:val="32"/>
          <w:szCs w:val="32"/>
        </w:rPr>
        <w:t>正常开展</w:t>
      </w:r>
      <w:r>
        <w:rPr>
          <w:rFonts w:eastAsia="仿宋_GB2312"/>
          <w:sz w:val="32"/>
          <w:szCs w:val="32"/>
        </w:rPr>
        <w:t>。项目主要实施及绩效情况如下：</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招引一批、开工一批、竣工一批产业（配套）项目。具体项目及数量详见芦淞区“项目大攻坚”活动实施方案。举办了1场大型的节能宣传（或教育培训）活动。完场价格认证约300件。编制了2022年度区级政府投资计划及重点项目计划；重大项目库年储备项目超20个。实施了主干电网提质、城乡配网提档、智能电网提效、能源供给清洁替代、能源数字智慧转型、营商环境优化、乡村振兴提速、民生福祉改善、绿色交通畅行等九大工程。年度公示行政许可、行政处罚等信息超500条。</w:t>
      </w:r>
    </w:p>
    <w:p>
      <w:pPr>
        <w:numPr>
          <w:ilvl w:val="0"/>
          <w:numId w:val="3"/>
        </w:num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 xml:space="preserve"> 粮食专项经费。2022年上半年，粮食职能划转至发改局，专项经费一并转入。项目实际支出</w:t>
      </w:r>
      <w:r>
        <w:rPr>
          <w:rFonts w:hint="eastAsia" w:eastAsia="仿宋"/>
          <w:sz w:val="32"/>
          <w:szCs w:val="32"/>
        </w:rPr>
        <w:t>19.51</w:t>
      </w:r>
      <w:r>
        <w:rPr>
          <w:rFonts w:hint="eastAsia" w:eastAsia="仿宋_GB2312"/>
          <w:sz w:val="32"/>
          <w:szCs w:val="32"/>
        </w:rPr>
        <w:t>万元，主要用于2021年临储粮处置及奖励企业（2022年商品粮大省）。</w:t>
      </w:r>
    </w:p>
    <w:p>
      <w:pPr>
        <w:numPr>
          <w:ilvl w:val="0"/>
          <w:numId w:val="3"/>
        </w:numPr>
        <w:tabs>
          <w:tab w:val="left" w:pos="7560"/>
        </w:tabs>
        <w:adjustRightInd w:val="0"/>
        <w:snapToGrid w:val="0"/>
        <w:spacing w:line="580" w:lineRule="exact"/>
        <w:ind w:firstLine="640" w:firstLineChars="200"/>
        <w:rPr>
          <w:rFonts w:eastAsia="仿宋_GB2312"/>
          <w:sz w:val="32"/>
          <w:szCs w:val="32"/>
        </w:rPr>
      </w:pPr>
      <w:r>
        <w:rPr>
          <w:rFonts w:eastAsia="仿宋"/>
          <w:sz w:val="32"/>
          <w:szCs w:val="32"/>
        </w:rPr>
        <w:t>社会信用体系建设工作经费</w:t>
      </w:r>
      <w:r>
        <w:rPr>
          <w:rFonts w:hint="eastAsia" w:eastAsia="仿宋"/>
          <w:sz w:val="32"/>
          <w:szCs w:val="32"/>
        </w:rPr>
        <w:t>。上年结转10.13万元，</w:t>
      </w:r>
      <w:r>
        <w:rPr>
          <w:rFonts w:hint="eastAsia" w:eastAsia="仿宋_GB2312"/>
          <w:sz w:val="32"/>
          <w:szCs w:val="32"/>
        </w:rPr>
        <w:t>实际支出</w:t>
      </w:r>
      <w:r>
        <w:rPr>
          <w:rFonts w:hint="eastAsia" w:eastAsia="仿宋"/>
          <w:sz w:val="32"/>
          <w:szCs w:val="32"/>
        </w:rPr>
        <w:t>1.33</w:t>
      </w:r>
      <w:r>
        <w:rPr>
          <w:rFonts w:hint="eastAsia" w:eastAsia="仿宋_GB2312"/>
          <w:sz w:val="32"/>
          <w:szCs w:val="32"/>
        </w:rPr>
        <w:t>万元，主要用于宣传手册印刷费。</w:t>
      </w:r>
    </w:p>
    <w:p>
      <w:pPr>
        <w:tabs>
          <w:tab w:val="left" w:pos="7560"/>
        </w:tabs>
        <w:adjustRightInd w:val="0"/>
        <w:snapToGrid w:val="0"/>
        <w:spacing w:line="580" w:lineRule="exact"/>
        <w:ind w:firstLine="640" w:firstLineChars="200"/>
        <w:rPr>
          <w:rFonts w:eastAsia="仿宋"/>
          <w:sz w:val="32"/>
          <w:szCs w:val="32"/>
        </w:rPr>
      </w:pPr>
      <w:r>
        <w:rPr>
          <w:rFonts w:hint="eastAsia" w:eastAsia="仿宋_GB2312"/>
          <w:sz w:val="32"/>
          <w:szCs w:val="32"/>
        </w:rPr>
        <w:t xml:space="preserve">4. </w:t>
      </w:r>
      <w:r>
        <w:rPr>
          <w:rFonts w:hint="eastAsia" w:eastAsia="仿宋"/>
          <w:sz w:val="32"/>
          <w:szCs w:val="32"/>
        </w:rPr>
        <w:t>三个高地指挥部专项工作经费。上年结转10万元，实际支出9.86万元，主要用于三高办资料印刷、办公用品采买等。</w:t>
      </w:r>
    </w:p>
    <w:p>
      <w:pPr>
        <w:pStyle w:val="7"/>
        <w:spacing w:line="580" w:lineRule="exact"/>
        <w:ind w:firstLine="640"/>
        <w:rPr>
          <w:rFonts w:eastAsia="仿宋"/>
          <w:sz w:val="32"/>
          <w:szCs w:val="32"/>
        </w:rPr>
      </w:pPr>
      <w:r>
        <w:rPr>
          <w:rFonts w:ascii="Times New Roman" w:hAnsi="Times New Roman" w:eastAsia="仿宋_GB2312"/>
          <w:sz w:val="32"/>
          <w:szCs w:val="32"/>
        </w:rPr>
        <w:t xml:space="preserve">5. </w:t>
      </w:r>
      <w:r>
        <w:rPr>
          <w:rFonts w:ascii="Times New Roman" w:hAnsi="Times New Roman" w:eastAsia="仿宋"/>
          <w:sz w:val="32"/>
          <w:szCs w:val="32"/>
        </w:rPr>
        <w:t>上级经费</w:t>
      </w:r>
      <w:r>
        <w:rPr>
          <w:rFonts w:hint="eastAsia" w:ascii="Times New Roman" w:hAnsi="Times New Roman" w:eastAsia="仿宋"/>
          <w:sz w:val="32"/>
          <w:szCs w:val="32"/>
        </w:rPr>
        <w:t>。项目实际支出55.00</w:t>
      </w:r>
      <w:r>
        <w:rPr>
          <w:rFonts w:ascii="Times New Roman" w:hAnsi="Times New Roman" w:eastAsia="仿宋"/>
          <w:sz w:val="32"/>
          <w:szCs w:val="32"/>
        </w:rPr>
        <w:t>万元</w:t>
      </w:r>
      <w:r>
        <w:rPr>
          <w:rFonts w:hint="eastAsia" w:ascii="Times New Roman" w:hAnsi="Times New Roman" w:eastAsia="仿宋"/>
          <w:sz w:val="32"/>
          <w:szCs w:val="32"/>
        </w:rPr>
        <w:t>，主要用于支付企业135工程奖补资金及2021市重点项目前期工作经费。</w:t>
      </w:r>
    </w:p>
    <w:p>
      <w:pPr>
        <w:pStyle w:val="7"/>
        <w:spacing w:line="58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预算资金绩效管理是一项长期性工作。由于不可预见因素，本单位在预算资金使用上也存在一定的不可预见性。在预算执行过程中存在有开支依据但无预算安排的现象，部门预算、绩效管理工作还有待进一步加强。</w:t>
      </w:r>
    </w:p>
    <w:p>
      <w:pPr>
        <w:spacing w:line="580" w:lineRule="exact"/>
        <w:ind w:firstLine="640" w:firstLineChars="200"/>
        <w:rPr>
          <w:rFonts w:eastAsia="黑体"/>
          <w:sz w:val="32"/>
          <w:szCs w:val="32"/>
        </w:rPr>
      </w:pPr>
      <w:r>
        <w:rPr>
          <w:rFonts w:eastAsia="黑体"/>
          <w:sz w:val="32"/>
          <w:szCs w:val="32"/>
        </w:rPr>
        <w:t>八、下一步改进措施</w:t>
      </w:r>
    </w:p>
    <w:p>
      <w:pPr>
        <w:tabs>
          <w:tab w:val="left" w:pos="7560"/>
        </w:tabs>
        <w:adjustRightInd w:val="0"/>
        <w:snapToGrid w:val="0"/>
        <w:spacing w:line="580" w:lineRule="exact"/>
        <w:ind w:firstLine="640" w:firstLineChars="200"/>
        <w:rPr>
          <w:rFonts w:eastAsia="仿宋_GB2312"/>
          <w:sz w:val="32"/>
          <w:szCs w:val="32"/>
        </w:rPr>
      </w:pPr>
      <w:r>
        <w:rPr>
          <w:rFonts w:eastAsia="仿宋_GB2312"/>
          <w:sz w:val="32"/>
          <w:szCs w:val="32"/>
        </w:rPr>
        <w:t>我局将压实部门内部绩效管理主体责任，培养内部人员的预算和绩效管理意识，严格按照预算编制的相关制度和要求，按照单位年度工作重点和计划细化预算编制工作，使预算绩效管理真正落到实处，切实提高绩效管理水平，充分发挥预算资金使用效益。</w:t>
      </w:r>
    </w:p>
    <w:p>
      <w:pPr>
        <w:spacing w:line="580" w:lineRule="exact"/>
        <w:ind w:firstLine="640" w:firstLineChars="200"/>
        <w:rPr>
          <w:rFonts w:eastAsia="黑体"/>
          <w:sz w:val="32"/>
          <w:szCs w:val="32"/>
        </w:rPr>
      </w:pPr>
      <w:r>
        <w:rPr>
          <w:rFonts w:eastAsia="黑体"/>
          <w:sz w:val="32"/>
          <w:szCs w:val="32"/>
        </w:rPr>
        <w:t>九、绩效自评结果拟应用和公开情况</w:t>
      </w:r>
    </w:p>
    <w:p>
      <w:pPr>
        <w:tabs>
          <w:tab w:val="left" w:pos="7560"/>
        </w:tabs>
        <w:adjustRightInd w:val="0"/>
        <w:snapToGrid w:val="0"/>
        <w:spacing w:line="580" w:lineRule="exact"/>
        <w:ind w:firstLine="640" w:firstLineChars="200"/>
        <w:rPr>
          <w:rFonts w:eastAsia="仿宋_GB2312"/>
          <w:sz w:val="32"/>
          <w:szCs w:val="32"/>
        </w:rPr>
      </w:pPr>
      <w:r>
        <w:rPr>
          <w:rFonts w:hint="eastAsia" w:eastAsia="仿宋_GB2312"/>
          <w:sz w:val="32"/>
          <w:szCs w:val="32"/>
        </w:rPr>
        <w:t>绩效自评良好。全面公开绩效自评报告，</w:t>
      </w:r>
      <w:r>
        <w:rPr>
          <w:rFonts w:hint="eastAsia" w:eastAsia="仿宋_GB2312"/>
          <w:sz w:val="32"/>
          <w:szCs w:val="32"/>
          <w:lang w:eastAsia="zh-CN"/>
        </w:rPr>
        <w:t>本单位无独立网站，</w:t>
      </w:r>
      <w:r>
        <w:rPr>
          <w:rFonts w:hint="eastAsia" w:eastAsia="仿宋_GB2312"/>
          <w:sz w:val="32"/>
          <w:szCs w:val="32"/>
        </w:rPr>
        <w:t>绩效自评结果将</w:t>
      </w:r>
      <w:r>
        <w:rPr>
          <w:rFonts w:hint="eastAsia" w:eastAsia="仿宋_GB2312"/>
          <w:sz w:val="32"/>
          <w:szCs w:val="32"/>
          <w:lang w:eastAsia="zh-CN"/>
        </w:rPr>
        <w:t>与决算报表</w:t>
      </w:r>
      <w:bookmarkStart w:id="0" w:name="_GoBack"/>
      <w:bookmarkEnd w:id="0"/>
      <w:r>
        <w:rPr>
          <w:rFonts w:hint="eastAsia" w:eastAsia="仿宋_GB2312"/>
          <w:sz w:val="32"/>
          <w:szCs w:val="32"/>
        </w:rPr>
        <w:t>在芦淞区门户网站上进行公开，接受社会监督。</w:t>
      </w:r>
    </w:p>
    <w:p>
      <w:pPr>
        <w:spacing w:line="580" w:lineRule="exact"/>
        <w:ind w:firstLine="640" w:firstLineChars="200"/>
        <w:rPr>
          <w:rFonts w:eastAsia="黑体"/>
          <w:sz w:val="32"/>
          <w:szCs w:val="32"/>
        </w:rPr>
      </w:pPr>
      <w:r>
        <w:rPr>
          <w:rFonts w:eastAsia="黑体"/>
          <w:sz w:val="32"/>
          <w:szCs w:val="32"/>
        </w:rPr>
        <w:t>十、其他需要说明的情况</w:t>
      </w:r>
    </w:p>
    <w:p>
      <w:pPr>
        <w:spacing w:line="580" w:lineRule="exact"/>
        <w:ind w:firstLine="640" w:firstLineChars="200"/>
      </w:pPr>
      <w:r>
        <w:rPr>
          <w:rFonts w:hint="eastAsia" w:eastAsia="仿宋_GB2312"/>
          <w:sz w:val="32"/>
          <w:szCs w:val="32"/>
        </w:rPr>
        <w:t>无。</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1AB73"/>
    <w:multiLevelType w:val="singleLevel"/>
    <w:tmpl w:val="D0F1AB73"/>
    <w:lvl w:ilvl="0" w:tentative="0">
      <w:start w:val="5"/>
      <w:numFmt w:val="chineseCounting"/>
      <w:suff w:val="nothing"/>
      <w:lvlText w:val="%1、"/>
      <w:lvlJc w:val="left"/>
      <w:rPr>
        <w:rFonts w:hint="eastAsia"/>
      </w:rPr>
    </w:lvl>
  </w:abstractNum>
  <w:abstractNum w:abstractNumId="1">
    <w:nsid w:val="0AF58463"/>
    <w:multiLevelType w:val="singleLevel"/>
    <w:tmpl w:val="0AF58463"/>
    <w:lvl w:ilvl="0" w:tentative="0">
      <w:start w:val="2"/>
      <w:numFmt w:val="decimal"/>
      <w:suff w:val="space"/>
      <w:lvlText w:val="%1."/>
      <w:lvlJc w:val="left"/>
    </w:lvl>
  </w:abstractNum>
  <w:abstractNum w:abstractNumId="2">
    <w:nsid w:val="31708075"/>
    <w:multiLevelType w:val="singleLevel"/>
    <w:tmpl w:val="3170807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4B0F46"/>
    <w:rsid w:val="00004E70"/>
    <w:rsid w:val="00034731"/>
    <w:rsid w:val="000F70CB"/>
    <w:rsid w:val="0010299F"/>
    <w:rsid w:val="00105ADF"/>
    <w:rsid w:val="00124CFA"/>
    <w:rsid w:val="00167649"/>
    <w:rsid w:val="001C1567"/>
    <w:rsid w:val="001F18C0"/>
    <w:rsid w:val="00207FA3"/>
    <w:rsid w:val="002233D5"/>
    <w:rsid w:val="00231485"/>
    <w:rsid w:val="0023607F"/>
    <w:rsid w:val="002B2941"/>
    <w:rsid w:val="00335865"/>
    <w:rsid w:val="00340571"/>
    <w:rsid w:val="00361EBD"/>
    <w:rsid w:val="00365574"/>
    <w:rsid w:val="003C7A12"/>
    <w:rsid w:val="003F7C86"/>
    <w:rsid w:val="004173AA"/>
    <w:rsid w:val="00434972"/>
    <w:rsid w:val="0049254C"/>
    <w:rsid w:val="004B0F46"/>
    <w:rsid w:val="004E09EC"/>
    <w:rsid w:val="004F29A5"/>
    <w:rsid w:val="00515AEC"/>
    <w:rsid w:val="0058233C"/>
    <w:rsid w:val="005A433C"/>
    <w:rsid w:val="005E5ADC"/>
    <w:rsid w:val="006110BF"/>
    <w:rsid w:val="00624995"/>
    <w:rsid w:val="00662F6B"/>
    <w:rsid w:val="0071782F"/>
    <w:rsid w:val="00717A5D"/>
    <w:rsid w:val="00723820"/>
    <w:rsid w:val="00784CED"/>
    <w:rsid w:val="008161BD"/>
    <w:rsid w:val="0083311C"/>
    <w:rsid w:val="0083552D"/>
    <w:rsid w:val="00854054"/>
    <w:rsid w:val="008C62A7"/>
    <w:rsid w:val="008E3B76"/>
    <w:rsid w:val="008E3EF4"/>
    <w:rsid w:val="0090569B"/>
    <w:rsid w:val="009321DD"/>
    <w:rsid w:val="00941A1A"/>
    <w:rsid w:val="00956EA4"/>
    <w:rsid w:val="0096378B"/>
    <w:rsid w:val="009D06BD"/>
    <w:rsid w:val="009F3DF6"/>
    <w:rsid w:val="00A11459"/>
    <w:rsid w:val="00A428F1"/>
    <w:rsid w:val="00A5170F"/>
    <w:rsid w:val="00A543FA"/>
    <w:rsid w:val="00A56C8A"/>
    <w:rsid w:val="00A85203"/>
    <w:rsid w:val="00A92E35"/>
    <w:rsid w:val="00B37387"/>
    <w:rsid w:val="00B81AEA"/>
    <w:rsid w:val="00BD3846"/>
    <w:rsid w:val="00BF71C4"/>
    <w:rsid w:val="00C41058"/>
    <w:rsid w:val="00C5043C"/>
    <w:rsid w:val="00CA0C1F"/>
    <w:rsid w:val="00CB247A"/>
    <w:rsid w:val="00D4301B"/>
    <w:rsid w:val="00D5092F"/>
    <w:rsid w:val="00D72BD7"/>
    <w:rsid w:val="00D8154F"/>
    <w:rsid w:val="00D872AA"/>
    <w:rsid w:val="00DA4EDB"/>
    <w:rsid w:val="00DE51FF"/>
    <w:rsid w:val="00E55161"/>
    <w:rsid w:val="00E901D1"/>
    <w:rsid w:val="00F91BBA"/>
    <w:rsid w:val="00FE515A"/>
    <w:rsid w:val="015876FF"/>
    <w:rsid w:val="016976BE"/>
    <w:rsid w:val="01A6665B"/>
    <w:rsid w:val="01EF5276"/>
    <w:rsid w:val="02665DCF"/>
    <w:rsid w:val="02A86D87"/>
    <w:rsid w:val="02AE4CCA"/>
    <w:rsid w:val="02B50DF8"/>
    <w:rsid w:val="02D92DDA"/>
    <w:rsid w:val="03287320"/>
    <w:rsid w:val="03312A67"/>
    <w:rsid w:val="03AE3AC0"/>
    <w:rsid w:val="03FA6217"/>
    <w:rsid w:val="046063A3"/>
    <w:rsid w:val="048E4A8E"/>
    <w:rsid w:val="04A8621F"/>
    <w:rsid w:val="052D1124"/>
    <w:rsid w:val="05841760"/>
    <w:rsid w:val="058C239E"/>
    <w:rsid w:val="06334EF1"/>
    <w:rsid w:val="06377F01"/>
    <w:rsid w:val="071E5F82"/>
    <w:rsid w:val="072B45AB"/>
    <w:rsid w:val="07BB6AF4"/>
    <w:rsid w:val="07E60F21"/>
    <w:rsid w:val="07EF4D29"/>
    <w:rsid w:val="082B6EE4"/>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C699E"/>
    <w:rsid w:val="0C8E7A46"/>
    <w:rsid w:val="0C966F7F"/>
    <w:rsid w:val="0CCA6CB7"/>
    <w:rsid w:val="0CFF5FF0"/>
    <w:rsid w:val="0D1C42A9"/>
    <w:rsid w:val="0D366EDE"/>
    <w:rsid w:val="0D4B57FA"/>
    <w:rsid w:val="0D60161F"/>
    <w:rsid w:val="0E897C2B"/>
    <w:rsid w:val="0ED94D9B"/>
    <w:rsid w:val="0F957EE7"/>
    <w:rsid w:val="0F9A0948"/>
    <w:rsid w:val="0FA108F2"/>
    <w:rsid w:val="0FAA377E"/>
    <w:rsid w:val="0FB873C3"/>
    <w:rsid w:val="10593E88"/>
    <w:rsid w:val="10C17504"/>
    <w:rsid w:val="10F06DED"/>
    <w:rsid w:val="11107299"/>
    <w:rsid w:val="1134034B"/>
    <w:rsid w:val="115176A2"/>
    <w:rsid w:val="129D6027"/>
    <w:rsid w:val="13242D1C"/>
    <w:rsid w:val="13A52CDF"/>
    <w:rsid w:val="1433535A"/>
    <w:rsid w:val="146C1DD9"/>
    <w:rsid w:val="148911CB"/>
    <w:rsid w:val="14BF24DE"/>
    <w:rsid w:val="14CC54C7"/>
    <w:rsid w:val="14E33844"/>
    <w:rsid w:val="14EA23A8"/>
    <w:rsid w:val="15A27FE2"/>
    <w:rsid w:val="1627453B"/>
    <w:rsid w:val="17001B92"/>
    <w:rsid w:val="17197045"/>
    <w:rsid w:val="175C6F5E"/>
    <w:rsid w:val="179A7791"/>
    <w:rsid w:val="17BC6E9D"/>
    <w:rsid w:val="17DC3DC3"/>
    <w:rsid w:val="181F357B"/>
    <w:rsid w:val="188345AC"/>
    <w:rsid w:val="195E168F"/>
    <w:rsid w:val="196A7CDF"/>
    <w:rsid w:val="19C72BF8"/>
    <w:rsid w:val="19CA553D"/>
    <w:rsid w:val="1A4E2E8E"/>
    <w:rsid w:val="1AF51455"/>
    <w:rsid w:val="1B774556"/>
    <w:rsid w:val="1B9D302A"/>
    <w:rsid w:val="1BE46246"/>
    <w:rsid w:val="1BF446CE"/>
    <w:rsid w:val="1C01201F"/>
    <w:rsid w:val="1C704031"/>
    <w:rsid w:val="1D271A66"/>
    <w:rsid w:val="1DCB47DF"/>
    <w:rsid w:val="1E601115"/>
    <w:rsid w:val="1EB03217"/>
    <w:rsid w:val="1F000FB0"/>
    <w:rsid w:val="1F111AD7"/>
    <w:rsid w:val="1F5A1E7F"/>
    <w:rsid w:val="1FA707DF"/>
    <w:rsid w:val="1FFE7B8C"/>
    <w:rsid w:val="203C025A"/>
    <w:rsid w:val="20775CA3"/>
    <w:rsid w:val="20B120CF"/>
    <w:rsid w:val="217A1AB1"/>
    <w:rsid w:val="21D263FA"/>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8B0DE7"/>
    <w:rsid w:val="2EEF2198"/>
    <w:rsid w:val="2F0246FC"/>
    <w:rsid w:val="2F080155"/>
    <w:rsid w:val="30343502"/>
    <w:rsid w:val="30470CFF"/>
    <w:rsid w:val="306918BE"/>
    <w:rsid w:val="30A37680"/>
    <w:rsid w:val="31AF70F0"/>
    <w:rsid w:val="32C02540"/>
    <w:rsid w:val="32D24F00"/>
    <w:rsid w:val="32D963A9"/>
    <w:rsid w:val="32ED21B4"/>
    <w:rsid w:val="331926DE"/>
    <w:rsid w:val="35124AFB"/>
    <w:rsid w:val="35164EC9"/>
    <w:rsid w:val="35EE1AE6"/>
    <w:rsid w:val="36216ACD"/>
    <w:rsid w:val="36AD5505"/>
    <w:rsid w:val="36B32D8C"/>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011470"/>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0153B0"/>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25072F"/>
    <w:rsid w:val="4D36566E"/>
    <w:rsid w:val="4DBB24B5"/>
    <w:rsid w:val="4E03467F"/>
    <w:rsid w:val="4EE91176"/>
    <w:rsid w:val="4EF96755"/>
    <w:rsid w:val="4EFF6E71"/>
    <w:rsid w:val="4F0953A4"/>
    <w:rsid w:val="4F7317CB"/>
    <w:rsid w:val="4F7C135A"/>
    <w:rsid w:val="4FC01EDA"/>
    <w:rsid w:val="50281CF3"/>
    <w:rsid w:val="509154B6"/>
    <w:rsid w:val="50BB4683"/>
    <w:rsid w:val="50EC10F9"/>
    <w:rsid w:val="5177797E"/>
    <w:rsid w:val="52F6075F"/>
    <w:rsid w:val="53086FF5"/>
    <w:rsid w:val="530E0AE4"/>
    <w:rsid w:val="534D0228"/>
    <w:rsid w:val="53AB142E"/>
    <w:rsid w:val="54207C51"/>
    <w:rsid w:val="54DA727F"/>
    <w:rsid w:val="54E65F5A"/>
    <w:rsid w:val="557D2E1D"/>
    <w:rsid w:val="55804F6C"/>
    <w:rsid w:val="55BE3B30"/>
    <w:rsid w:val="564516B7"/>
    <w:rsid w:val="56685DC5"/>
    <w:rsid w:val="567C109E"/>
    <w:rsid w:val="567E6210"/>
    <w:rsid w:val="56933523"/>
    <w:rsid w:val="56BA55C6"/>
    <w:rsid w:val="57124CDD"/>
    <w:rsid w:val="576D1203"/>
    <w:rsid w:val="57837BDE"/>
    <w:rsid w:val="57935E95"/>
    <w:rsid w:val="58152013"/>
    <w:rsid w:val="58312F98"/>
    <w:rsid w:val="58CE683B"/>
    <w:rsid w:val="59A40B9B"/>
    <w:rsid w:val="5A161A7D"/>
    <w:rsid w:val="5A3C1A0D"/>
    <w:rsid w:val="5A6A2A29"/>
    <w:rsid w:val="5A9244F7"/>
    <w:rsid w:val="5AF97A89"/>
    <w:rsid w:val="5B0E1780"/>
    <w:rsid w:val="5B352171"/>
    <w:rsid w:val="5B514882"/>
    <w:rsid w:val="5B5C757D"/>
    <w:rsid w:val="5B6B124E"/>
    <w:rsid w:val="5BB54965"/>
    <w:rsid w:val="5C8E41DD"/>
    <w:rsid w:val="5D155819"/>
    <w:rsid w:val="5D656D7E"/>
    <w:rsid w:val="5DCE0C96"/>
    <w:rsid w:val="5DE454AE"/>
    <w:rsid w:val="5DEC70B2"/>
    <w:rsid w:val="5E1F095F"/>
    <w:rsid w:val="5E482C04"/>
    <w:rsid w:val="5E5D637B"/>
    <w:rsid w:val="5E850410"/>
    <w:rsid w:val="5EC735B0"/>
    <w:rsid w:val="5F0035F9"/>
    <w:rsid w:val="5F0F193D"/>
    <w:rsid w:val="5F2B6724"/>
    <w:rsid w:val="5FF36491"/>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4F0262E"/>
    <w:rsid w:val="65025750"/>
    <w:rsid w:val="65191B9C"/>
    <w:rsid w:val="653021A9"/>
    <w:rsid w:val="655A47A7"/>
    <w:rsid w:val="65A54A2D"/>
    <w:rsid w:val="65EB60C2"/>
    <w:rsid w:val="66022946"/>
    <w:rsid w:val="66A877C4"/>
    <w:rsid w:val="67303E4C"/>
    <w:rsid w:val="67347CE6"/>
    <w:rsid w:val="675A5E15"/>
    <w:rsid w:val="677549A9"/>
    <w:rsid w:val="67F2708D"/>
    <w:rsid w:val="68030691"/>
    <w:rsid w:val="689E76A5"/>
    <w:rsid w:val="68DB1AF2"/>
    <w:rsid w:val="68E0427F"/>
    <w:rsid w:val="68F75735"/>
    <w:rsid w:val="694757F4"/>
    <w:rsid w:val="69B41099"/>
    <w:rsid w:val="6B3B48D5"/>
    <w:rsid w:val="6BBF4B8D"/>
    <w:rsid w:val="6C630660"/>
    <w:rsid w:val="6C6E6460"/>
    <w:rsid w:val="6C9165DC"/>
    <w:rsid w:val="6C9331C1"/>
    <w:rsid w:val="6D2E13D1"/>
    <w:rsid w:val="6D3264BE"/>
    <w:rsid w:val="6D6D6826"/>
    <w:rsid w:val="6D9E11D0"/>
    <w:rsid w:val="6DCC19D2"/>
    <w:rsid w:val="6DFE63C1"/>
    <w:rsid w:val="6E224140"/>
    <w:rsid w:val="6E2E58DF"/>
    <w:rsid w:val="6E987E4E"/>
    <w:rsid w:val="6EE044A0"/>
    <w:rsid w:val="6EF44177"/>
    <w:rsid w:val="6F0F7BD0"/>
    <w:rsid w:val="6F1D59CD"/>
    <w:rsid w:val="6FE61A56"/>
    <w:rsid w:val="704C412C"/>
    <w:rsid w:val="70AD1C74"/>
    <w:rsid w:val="711C4732"/>
    <w:rsid w:val="718F1130"/>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63154B"/>
    <w:rsid w:val="7B877F0B"/>
    <w:rsid w:val="7C511C26"/>
    <w:rsid w:val="7C805F37"/>
    <w:rsid w:val="7CA00AC6"/>
    <w:rsid w:val="7CEF5D73"/>
    <w:rsid w:val="7D00680F"/>
    <w:rsid w:val="7DED6266"/>
    <w:rsid w:val="7E1953C1"/>
    <w:rsid w:val="7E226C0D"/>
    <w:rsid w:val="7E294730"/>
    <w:rsid w:val="7E3B45BE"/>
    <w:rsid w:val="7EC4324E"/>
    <w:rsid w:val="7EF36598"/>
    <w:rsid w:val="7F72535A"/>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NormalCharacter"/>
    <w:qFormat/>
    <w:uiPriority w:val="0"/>
    <w:rPr>
      <w:rFonts w:ascii="Times New Roman" w:hAnsi="Times New Roman" w:eastAsia="宋体"/>
    </w:rPr>
  </w:style>
  <w:style w:type="character" w:customStyle="1" w:styleId="12">
    <w:name w:val="批注框文本 Char"/>
    <w:basedOn w:val="6"/>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615</Words>
  <Characters>3509</Characters>
  <Lines>29</Lines>
  <Paragraphs>8</Paragraphs>
  <TotalTime>22</TotalTime>
  <ScaleCrop>false</ScaleCrop>
  <LinksUpToDate>false</LinksUpToDate>
  <CharactersWithSpaces>4116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2023-11-08T09:26:00Z</dcterms:created>
  <dc:creator>Administrator.BF-20190731HTSG</dc:creator>
  <cp:lastModifiedBy>啦啦啦</cp:lastModifiedBy>
  <cp:lastPrinted>2022-09-27T02:41:00Z</cp:lastPrinted>
  <dcterms:modified xsi:type="dcterms:W3CDTF">2023-11-13T03:11:34Z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