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2022年度株洲市芦淞区行政审批服务局整体支出绩效自评报告</w:t>
      </w: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单位名称（盖章）：</w:t>
      </w:r>
    </w:p>
    <w:p>
      <w:pPr>
        <w:jc w:val="center"/>
        <w:rPr>
          <w:rFonts w:hint="default" w:ascii="Times New Roman" w:hAnsi="Times New Roman" w:eastAsia="黑体" w:cs="Times New Roman"/>
          <w:sz w:val="32"/>
          <w:szCs w:val="32"/>
        </w:rPr>
      </w:pP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（一）株洲市芦淞区行政审批服务局基本情况</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负责指导、协调、推进全区行政审批制度改革工作。</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统筹协调、监督评估全区政府系统电子政务信息化建设工作； 统筹规划、协调指导、监督评估全区数据资源管理和智慧城市建设工作。</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协调推进全区“放管服”改革工作。</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负责区集中统一办事大厅标准化、规范化建设以及进驻部门和人员的日常管理、培训、监督和考核工作。</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完成区委和区政府交办的其他任务。</w:t>
      </w:r>
    </w:p>
    <w:p>
      <w:pPr>
        <w:keepNext w:val="0"/>
        <w:keepLines w:val="0"/>
        <w:pageBreakBefore w:val="0"/>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（二）株洲市芦淞区行政审批服务局2022年度整体支出绩效目标，部门专项资金绩效目标、其他项目支出（除省级专项资金以外）绩效目标。</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1.保障本单位日常工作正常运转，工资、福利及五险一金正常发放。2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做深做实省政府“一件事一次办”改革事项，建立健全“一件事一次办”改革制度规范；持续深化“互联网+政务服务”市、区、镇（街道）、村（社区）四级联动建设；聚焦聚力提升审批效率。3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加快推进政务信息化建设，保障全区网络平稳运行；建立健全政务信息化机制；规范“互联网+政务服务”四级联动设施设备管理。4</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加强实体服务大厅建设管理，持续深化“三集中三到位”；打造“三心”政务服务品牌；用好“好差评”制度；着力提升政务服务效能。5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加强政府网站信息内容建设管理，进一步巩固政务公开标准化工作的成果。提升政府网站发布信息、解读政策、回应关切、引导舆论的能力和水平，将政府网站打造成更加及时、准确、有效的政府信息发布、互动交流和公共服务平台。6</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按市级要求建全完善“两招三办”代办督办机制，进一步推进重点工程领域项目代办工作。</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8"/>
        <w:keepNext w:val="0"/>
        <w:keepLines w:val="0"/>
        <w:pageBreakBefore w:val="0"/>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2022年预算资金588.3万元。</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2022年度单位一般公共预算财政拨款收入386.6万元。</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2022年度单位一般公共预算财政拨款支出386.6万元其中：项目支出172.47万元，基本支出214.13万元，其中：人员经费185.6万元，公用经费28.53万元。</w:t>
      </w:r>
    </w:p>
    <w:p>
      <w:pPr>
        <w:pStyle w:val="8"/>
        <w:keepNext w:val="0"/>
        <w:keepLines w:val="0"/>
        <w:pageBreakBefore w:val="0"/>
        <w:numPr>
          <w:ilvl w:val="0"/>
          <w:numId w:val="1"/>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政务大厅管理和互联网+政务服务建设项目支出42.75万元。</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政务信息化网络租赁及维护项目支出103.76万元。</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政务公开及政府门户网站建设项目支出9.09万元。</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highlight w:val="none"/>
        </w:rPr>
        <w:t>2020年</w:t>
      </w:r>
      <w:r>
        <w:rPr>
          <w:rFonts w:hint="default" w:ascii="Times New Roman" w:hAnsi="Times New Roman" w:eastAsia="仿宋_GB2312" w:cs="Times New Roman"/>
          <w:sz w:val="32"/>
          <w:szCs w:val="32"/>
        </w:rPr>
        <w:t>度新冠肺炎疫情防控工作补助项目支出0.8万元。</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预备费项目支出10万元。</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行政审批制度改革项目支出3.03万元。</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二招三办项目支出3.04万元。</w:t>
      </w:r>
      <w:bookmarkStart w:id="0" w:name="_GoBack"/>
      <w:bookmarkEnd w:id="0"/>
    </w:p>
    <w:p>
      <w:pPr>
        <w:pStyle w:val="8"/>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无</w:t>
      </w:r>
      <w:r>
        <w:rPr>
          <w:rFonts w:hint="default" w:ascii="Times New Roman" w:hAnsi="Times New Roman" w:eastAsia="仿宋_GB2312" w:cs="Times New Roman"/>
          <w:sz w:val="32"/>
          <w:szCs w:val="32"/>
        </w:rPr>
        <w:t>。</w:t>
      </w:r>
    </w:p>
    <w:p>
      <w:pPr>
        <w:pStyle w:val="8"/>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无</w:t>
      </w:r>
      <w:r>
        <w:rPr>
          <w:rFonts w:hint="default" w:ascii="Times New Roman" w:hAnsi="Times New Roman" w:eastAsia="仿宋_GB2312" w:cs="Times New Roman"/>
          <w:sz w:val="32"/>
          <w:szCs w:val="32"/>
        </w:rPr>
        <w:t>。</w:t>
      </w:r>
    </w:p>
    <w:p>
      <w:pPr>
        <w:pStyle w:val="8"/>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无</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株洲市芦淞区行政审批服务局的基本支出主要为用于保障机构正常运转、完成日常工作而发生的支出，包括人员经费和公用经费等。2022年基本支出合计214.13万元。其中：1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工资福利支出185.6万元。工资福利支出指基本工资、津贴补贴、奖金、机关事业单位基本养老保险缴费、职工基本医疗保险缴费、其他社会保障缴费、住房公积金、医疗费。 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商品和服务支出28.53万元。商品和服务支出为行政审批服务局日常工作运转的办公费、邮电费、差旅费、委托业务费、工会经费、其他商品和服务等。3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做深做实省政府“一件事一次办”改革事项，建立健全“一件事一次办”改革制度规范；持续深化“互联网+政务服务”市、区、镇（街道）、村（社区）四级联动建设；聚焦聚力提升审批效率。4</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加快推进政务信息化建设，保障全区网络平稳运行；建立健全政务信息化机制；规范“互联网+政务服务”四级联动设施设备管理。5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加强实体服务大厅建设管理，持续深化“三集中三到位”；打造“三心”政务服务品牌；用好“好差评”制度；着力提升政务服务效能。6</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加强政府网站信息内容建设管理，进一步巩固政务公开标准化工作的成果。提升政府网站发布信息、解读政策、回应关切、引导舆论的能力和水平，将政府网站打造成更加及时、准确、有效的政府信息发布、互动交流和公共服务平台。经反馈，芦淞区社会各界对行政审批服务局的履职情况满意占 95%，基本满意占5%，不满意占 0%。</w:t>
      </w:r>
    </w:p>
    <w:p>
      <w:pPr>
        <w:keepNext w:val="0"/>
        <w:keepLines w:val="0"/>
        <w:pageBreakBefore w:val="0"/>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（二）专项资金支出绩效情况</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创新引领、争当先锋，打造营商环境“芦淞样板”。一是聚焦服务前移，商圈事项就近办。创新探索商事服务新模式，以市场主体需求为导向，经问卷调查、市场调研等可行性研究，率先在全省打造首个红商圈“一件事一次办”专区，实现市场主体不出商圈即可享受高品质综合服务。自专区挂牌运行以来，窗口共接待群众2334人次，接受咨询2929次，窗口受理425件，总受理事项1004项，办结率达99%，深受商户好评。二是聚焦作风建设，政务事项廉洁办。以“清廉大厅”建设为抓手，创新采取“问”“查”“访”方式全方位征集问题线索，广泛接受社会监督。通过签订承诺书、部门自查、四不两直督查、县市区交叉核查等方式，层层压实部门责任，提升了政务审批时效，营造了清正廉洁氛围，得到了市局充分肯定，芦淞区作为株洲市唯一县市区被市局推荐到省参评，我区坚持“清廉大厅”建设与政务服务工作两手抓、两不误、两促进”的经验做法在全省受到推介。三是聚焦市场交易，中介事项规范办。全面运行推广湖南省网上中介服务超市，规范中介服务市场行为和市场秩序，打破服务垄断，提高审批效率，通过广泛宣传发动、座谈调研、走访联动，今年3月，我区率先开出省网上中介超市全市第一单全省第三单，并受到市局的高度评价。截至目前，已实现34家委托人、16家中介机构入驻，挂网21单、中标6单、完成6单，网上中介超市入驻数、发布数均走在城区前列。</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区域联动、先行先试，深化数字建设“芦淞模式”。一是先行先试电子证照应用。收集梳理区直单位电子证照、电子签章等数据向市级汇集，积极探索卫健、城管等部门可操作事项，经过数据采集、系统比对、反复测试，成功生成全区第一张“占用、挖掘城市道路审批”电子证照，为赋能数字化建设迈出了坚实的一步。二是升级政务服务智能终端。在人流密集处、中心商圈等热门服务区域精准接入24小时政务服务自助终端机，并动态调整事项清单，升级版块功能。三是扩大“跨省（域）通办”服务范围。持续推进政务服务“跨省通办”，与湖北省黄石市大冶市通过云端签订政务服务“跨省通办”合作协议，实现33个政务服务高频事项落地见效，有效解决异地办事之忧，让更多两地的企业群众切实享受改革成果。</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强化建设、提升效能，擦亮政务服务“芦淞品牌”。一是优化提升政务大厅“硬环境”。坚持以“高品质服务”为目标，对政务大厅开展“内外兼修”。对“外”，升级改造监控系统、更换休息区座椅沙发、添置母婴室设施设备等，优化大厅服务功能，营造温馨舒适、阳光透明的服务氛围。对“内”，强化队伍素质，提升服务效能，推动政务服务再上新台阶。二是完善政务服务“好差评”制度。形成“好差评”系统、评价器、满意度回访、调查问卷等多形式全方位评价体系，提高企业群众满意度。截至目前，“红黄牌”实现零预警，政务服务事项办结率及智慧株洲评价系统满意率100%，“好差评”、行政效能得分排名均为全市前三。三是广泛宣传打好服务“主动战”。开展“一件事一次办”宣传活动，发动干部职工在中心广场繁华地段摆摊设点，上门发放宣传资料和开展问卷调查。以线上线下相结合的方式，利用电子显示屏、政府门户网站、媒体报道等媒介广泛宣传，切实提升“一件事一次办”微信小程序、“诸事达”APP及红商圈“一件事一次办”专区等政务服务平台的知晓度、使用率和影响力。</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优化流程、精准施策，跑出审批服务“芦淞速度”。一是高质量开展“一把手走流程”。区长、常务副区长、分管副区长亲自带队走流程、解难题、优服务，在全区掀起“一把手走流程”热潮，着力解决企业群众办事过程中的“痛点、难点、堵点”问题。截至目前，全区25个职能部门完成“走流程”活动，共查出问题47个，解决问题40个，全面提升了部门审批质效。二是优化提速“一门式”服务事项。梳理优化基层公共服务“一门式”服务事项47项，缩短承诺办结时限1603个工作日，优化率为79.5%；缩减办事环节40个，优化率24.7%，减少群众跑动次数113次，优化率64.9%，全面提升办事效率和基层群众便利度。三是全力推动重点项目帮代办。以园区产业项目全周期服务机制“六即”改革为指导，大力推行“拿地即开工”“竣工即交证”审批模式，挂图作战，任务倒排、紧盯死跟，将责任落实在一线、服务深入在一线、问题解决在一线，大大简化了审批流程，压缩了审批时限，推动我区项目建设实现“加速跑”。助力欧微服饰全国总部基地成为我区首个“竣工即交证”项目；全流程服务正荣运营管理项目仅用时9个工作日取得《联合验收合格证明》和《房屋不动产权证书》，完成我区又一“竣工即交证”项目；指导中国航发动研所科研设计仿真中心项目三天办齐“四证”，审批提速88%，刷新全市“竣工即交证”纪录。</w:t>
      </w:r>
    </w:p>
    <w:p>
      <w:pPr>
        <w:pStyle w:val="8"/>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总体上项目预算规模与内容相匹配，总体成本控制较好，但预算编制的科学性与严谨性仍有待加强，所涉及各类资金分配应更加准确。</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加强预算编制的科学性与严谨性，提高分配各类资金的准确性。</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根据预算绩效管理要求，本单位组织对 2022年度部门整体支出开展了绩效自评，从评价情况来看，预算执行及时、有效，绩效目标得到较好实现，绩效管理水平不断提高。</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本单位没有独立网站，</w:t>
      </w:r>
      <w:r>
        <w:rPr>
          <w:rFonts w:hint="eastAsia" w:eastAsia="仿宋_GB2312" w:cs="Times New Roman"/>
          <w:sz w:val="32"/>
          <w:szCs w:val="32"/>
          <w:lang w:eastAsia="zh-CN"/>
        </w:rPr>
        <w:t>绩效自评情况将于决算报表一起在</w:t>
      </w:r>
      <w:r>
        <w:rPr>
          <w:rFonts w:hint="default" w:ascii="Times New Roman" w:hAnsi="Times New Roman" w:eastAsia="仿宋_GB2312" w:cs="Times New Roman"/>
          <w:sz w:val="32"/>
          <w:szCs w:val="32"/>
        </w:rPr>
        <w:t>芦淞区政府信息公开专栏中公开。</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eastAsia" w:eastAsia="仿宋_GB2312" w:cs="Times New Roman"/>
          <w:sz w:val="32"/>
          <w:szCs w:val="32"/>
          <w:lang w:eastAsia="zh-CN"/>
        </w:rPr>
        <w:t>。</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9B65F4"/>
    <w:rsid w:val="00004987"/>
    <w:rsid w:val="00004E70"/>
    <w:rsid w:val="00052A47"/>
    <w:rsid w:val="000651DD"/>
    <w:rsid w:val="000D12B5"/>
    <w:rsid w:val="00103562"/>
    <w:rsid w:val="00110898"/>
    <w:rsid w:val="00123360"/>
    <w:rsid w:val="001C1D5E"/>
    <w:rsid w:val="001E1991"/>
    <w:rsid w:val="00207FA3"/>
    <w:rsid w:val="00233111"/>
    <w:rsid w:val="00234EE7"/>
    <w:rsid w:val="00292224"/>
    <w:rsid w:val="002A16C6"/>
    <w:rsid w:val="002F1F05"/>
    <w:rsid w:val="00302784"/>
    <w:rsid w:val="00312270"/>
    <w:rsid w:val="00317F08"/>
    <w:rsid w:val="003613AE"/>
    <w:rsid w:val="003827E8"/>
    <w:rsid w:val="00383F24"/>
    <w:rsid w:val="004502A3"/>
    <w:rsid w:val="00452EEB"/>
    <w:rsid w:val="00482725"/>
    <w:rsid w:val="00485EAA"/>
    <w:rsid w:val="0049132C"/>
    <w:rsid w:val="004F1F0E"/>
    <w:rsid w:val="005324B5"/>
    <w:rsid w:val="00542E40"/>
    <w:rsid w:val="0054476F"/>
    <w:rsid w:val="005A433C"/>
    <w:rsid w:val="005E6804"/>
    <w:rsid w:val="00633E69"/>
    <w:rsid w:val="006577E8"/>
    <w:rsid w:val="006C2117"/>
    <w:rsid w:val="006C38C0"/>
    <w:rsid w:val="00745A68"/>
    <w:rsid w:val="00751BAC"/>
    <w:rsid w:val="00765CCF"/>
    <w:rsid w:val="00777722"/>
    <w:rsid w:val="00783A4D"/>
    <w:rsid w:val="00794EA3"/>
    <w:rsid w:val="007C47BD"/>
    <w:rsid w:val="007D4786"/>
    <w:rsid w:val="007F0279"/>
    <w:rsid w:val="00812203"/>
    <w:rsid w:val="00847816"/>
    <w:rsid w:val="00870D4F"/>
    <w:rsid w:val="008856B1"/>
    <w:rsid w:val="00885876"/>
    <w:rsid w:val="008C62A7"/>
    <w:rsid w:val="008D03A0"/>
    <w:rsid w:val="009205DD"/>
    <w:rsid w:val="00942DFF"/>
    <w:rsid w:val="00974180"/>
    <w:rsid w:val="00996FD8"/>
    <w:rsid w:val="009B65F4"/>
    <w:rsid w:val="00A10D1F"/>
    <w:rsid w:val="00A24AA5"/>
    <w:rsid w:val="00A33BFC"/>
    <w:rsid w:val="00A40E9B"/>
    <w:rsid w:val="00A56C8A"/>
    <w:rsid w:val="00A57C92"/>
    <w:rsid w:val="00A90245"/>
    <w:rsid w:val="00A9400F"/>
    <w:rsid w:val="00AB3A07"/>
    <w:rsid w:val="00B370DE"/>
    <w:rsid w:val="00B4659B"/>
    <w:rsid w:val="00BD0ABB"/>
    <w:rsid w:val="00C035AB"/>
    <w:rsid w:val="00C53CAC"/>
    <w:rsid w:val="00C609B6"/>
    <w:rsid w:val="00C76CDC"/>
    <w:rsid w:val="00D47144"/>
    <w:rsid w:val="00D50817"/>
    <w:rsid w:val="00D5092F"/>
    <w:rsid w:val="00D76AC1"/>
    <w:rsid w:val="00D854C3"/>
    <w:rsid w:val="00DC0E64"/>
    <w:rsid w:val="00E31BEF"/>
    <w:rsid w:val="00E42AD3"/>
    <w:rsid w:val="00E55161"/>
    <w:rsid w:val="00E63FA2"/>
    <w:rsid w:val="00E97430"/>
    <w:rsid w:val="00EB47D7"/>
    <w:rsid w:val="00EB53F0"/>
    <w:rsid w:val="00ED7B85"/>
    <w:rsid w:val="00EE2946"/>
    <w:rsid w:val="00EF5412"/>
    <w:rsid w:val="00F4537E"/>
    <w:rsid w:val="00FC20B3"/>
    <w:rsid w:val="00FC34B2"/>
    <w:rsid w:val="00FD2976"/>
    <w:rsid w:val="00FF23BC"/>
    <w:rsid w:val="00FF65BD"/>
    <w:rsid w:val="015876FF"/>
    <w:rsid w:val="016976BE"/>
    <w:rsid w:val="01A6665B"/>
    <w:rsid w:val="01EF5276"/>
    <w:rsid w:val="02665DCF"/>
    <w:rsid w:val="02A86D87"/>
    <w:rsid w:val="02AE4CCA"/>
    <w:rsid w:val="02D92DDA"/>
    <w:rsid w:val="03287320"/>
    <w:rsid w:val="03AE3AC0"/>
    <w:rsid w:val="03FA6217"/>
    <w:rsid w:val="046063A3"/>
    <w:rsid w:val="048E4A8E"/>
    <w:rsid w:val="04A8621F"/>
    <w:rsid w:val="04DE6F33"/>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1A078F"/>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rPr>
      <w:sz w:val="32"/>
      <w:szCs w:val="3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eastAsia="仿宋_GB2312"/>
      <w:kern w:val="0"/>
      <w:sz w:val="24"/>
      <w:szCs w:val="32"/>
    </w:rPr>
  </w:style>
  <w:style w:type="paragraph" w:styleId="8">
    <w:name w:val="List Paragraph"/>
    <w:basedOn w:val="1"/>
    <w:qFormat/>
    <w:uiPriority w:val="99"/>
    <w:pPr>
      <w:ind w:firstLine="420" w:firstLineChars="200"/>
    </w:pPr>
    <w:rPr>
      <w:rFonts w:ascii="Calibri" w:hAnsi="Calibri"/>
      <w:szCs w:val="22"/>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0">
    <w:name w:val="页眉 字符"/>
    <w:basedOn w:val="7"/>
    <w:link w:val="4"/>
    <w:uiPriority w:val="0"/>
    <w:rPr>
      <w:rFonts w:ascii="Times New Roman" w:hAnsi="Times New Roman" w:eastAsia="宋体" w:cs="Times New Roman"/>
      <w:kern w:val="2"/>
      <w:sz w:val="18"/>
      <w:szCs w:val="18"/>
    </w:rPr>
  </w:style>
  <w:style w:type="character" w:customStyle="1" w:styleId="11">
    <w:name w:val="页脚 字符"/>
    <w:basedOn w:val="7"/>
    <w:link w:val="3"/>
    <w:uiPriority w:val="0"/>
    <w:rPr>
      <w:rFonts w:ascii="Times New Roman" w:hAnsi="Times New Roman" w:eastAsia="宋体" w:cs="Times New Roman"/>
      <w:kern w:val="2"/>
      <w:sz w:val="18"/>
      <w:szCs w:val="18"/>
    </w:rPr>
  </w:style>
  <w:style w:type="character" w:customStyle="1" w:styleId="12">
    <w:name w:val="正文文本 字符"/>
    <w:basedOn w:val="7"/>
    <w:link w:val="2"/>
    <w:uiPriority w:val="0"/>
    <w:rPr>
      <w:rFonts w:ascii="Times New Roman" w:hAnsi="Times New Roman" w:eastAsia="宋体" w:cs="Times New Roman"/>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593</Words>
  <Characters>3385</Characters>
  <Lines>28</Lines>
  <Paragraphs>7</Paragraphs>
  <TotalTime>9</TotalTime>
  <ScaleCrop>false</ScaleCrop>
  <LinksUpToDate>false</LinksUpToDate>
  <CharactersWithSpaces>3971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2023-11-07T02:23:59Z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46B1E17AE7754E13BA78DBD53DD7830E</vt:lpwstr>
  </property>
</Properties>
</file>