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2022年度株洲市芦淞区环境卫生服务中心整体支出绩效自评报告</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720" w:firstLineChars="200"/>
        <w:jc w:val="center"/>
        <w:rPr>
          <w:rFonts w:hint="default" w:ascii="Times New Roman" w:hAnsi="Times New Roman" w:eastAsia="黑体" w:cs="Times New Roman"/>
          <w:sz w:val="36"/>
          <w:szCs w:val="36"/>
        </w:rPr>
      </w:pPr>
    </w:p>
    <w:p>
      <w:pPr>
        <w:ind w:firstLine="720" w:firstLineChars="20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单位名称（盖章）：</w:t>
      </w:r>
    </w:p>
    <w:p>
      <w:pPr>
        <w:ind w:firstLine="720" w:firstLineChars="200"/>
        <w:jc w:val="center"/>
        <w:rPr>
          <w:rFonts w:hint="default" w:ascii="Times New Roman" w:hAnsi="Times New Roman" w:eastAsia="黑体" w:cs="Times New Roman"/>
          <w:sz w:val="32"/>
          <w:szCs w:val="32"/>
        </w:rPr>
      </w:pPr>
      <w:r>
        <w:rPr>
          <w:rFonts w:hint="default" w:ascii="Times New Roman" w:hAnsi="Times New Roman" w:eastAsia="黑体" w:cs="Times New Roman"/>
          <w:sz w:val="36"/>
          <w:szCs w:val="36"/>
        </w:rPr>
        <w:t>株洲市芦淞区环境卫生服务中心</w:t>
      </w:r>
    </w:p>
    <w:p>
      <w:pPr>
        <w:rPr>
          <w:rFonts w:hint="default" w:ascii="Times New Roman" w:hAnsi="Times New Roman" w:eastAsia="黑体"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keepNext w:val="0"/>
        <w:keepLines w:val="0"/>
        <w:pageBreakBefore w:val="0"/>
        <w:wordWrap/>
        <w:overflowPunct/>
        <w:topLinePunct w:val="0"/>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tabs>
          <w:tab w:val="left" w:pos="7560"/>
        </w:tabs>
        <w:wordWrap/>
        <w:overflowPunct/>
        <w:topLinePunct w:val="0"/>
        <w:bidi w:val="0"/>
        <w:adjustRightInd w:val="0"/>
        <w:snapToGrid w:val="0"/>
        <w:spacing w:line="560" w:lineRule="exact"/>
        <w:ind w:left="0" w:firstLine="643" w:firstLineChars="200"/>
        <w:jc w:val="both"/>
        <w:rPr>
          <w:rFonts w:hint="default" w:ascii="Times New Roman" w:hAnsi="Times New Roman" w:eastAsia="楷体_GB2312" w:cs="Times New Roman"/>
          <w:b/>
          <w:bCs/>
          <w:color w:val="000000"/>
          <w:kern w:val="0"/>
          <w:sz w:val="32"/>
          <w:szCs w:val="32"/>
        </w:rPr>
      </w:pPr>
      <w:r>
        <w:rPr>
          <w:rFonts w:hint="eastAsia" w:eastAsia="楷体_GB2312" w:cs="Times New Roman"/>
          <w:b/>
          <w:bCs/>
          <w:color w:val="000000"/>
          <w:kern w:val="0"/>
          <w:sz w:val="32"/>
          <w:szCs w:val="32"/>
          <w:lang w:eastAsia="zh-CN"/>
        </w:rPr>
        <w:t>（一）</w:t>
      </w:r>
      <w:r>
        <w:rPr>
          <w:rFonts w:hint="default" w:ascii="Times New Roman" w:hAnsi="Times New Roman" w:eastAsia="楷体_GB2312" w:cs="Times New Roman"/>
          <w:b/>
          <w:bCs/>
          <w:color w:val="000000"/>
          <w:kern w:val="0"/>
          <w:sz w:val="32"/>
          <w:szCs w:val="32"/>
        </w:rPr>
        <w:t>株洲市芦淞区环境卫生服务中心基本情况</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株洲市芦淞区环境卫生服务中心，为芦淞区城市管理和综合执法局的二级机构，副科级公益二类事业单位。主要职责是：</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一、负责辖区主次干道清扫保洁和城市生活垃圾收集、清运的监督检查、考评指导、服务协调；</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二、负责辖区城市生活垃圾处理费的征收；</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三、负责管辖范围内环卫设施设备的管理、维护和维修；</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四、负责对辖区范围内环卫基础设施建设的建议及环境卫生的宣传教育工作；</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五、完成区委、区人民政府及上级部门交办的其他工作。</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default" w:ascii="Times New Roman" w:hAnsi="Times New Roman" w:eastAsia="仿宋_GB2312" w:cs="Times New Roman"/>
          <w:b/>
          <w:sz w:val="32"/>
          <w:szCs w:val="32"/>
        </w:rPr>
      </w:pPr>
      <w:r>
        <w:rPr>
          <w:rFonts w:hint="default" w:ascii="Times New Roman" w:hAnsi="Times New Roman" w:eastAsia="仿宋_GB2312" w:cs="Times New Roman"/>
          <w:color w:val="000000"/>
          <w:kern w:val="0"/>
          <w:sz w:val="32"/>
          <w:szCs w:val="32"/>
        </w:rPr>
        <w:t>我单位现设五个(科)室，即综合办公室、业务考评室、设施设备管理科、建宁驿站管理办公室、收费中心。我单位现共有编制人数91人。</w:t>
      </w:r>
    </w:p>
    <w:p>
      <w:pPr>
        <w:keepNext w:val="0"/>
        <w:keepLines w:val="0"/>
        <w:pageBreakBefore w:val="0"/>
        <w:numPr>
          <w:ilvl w:val="0"/>
          <w:numId w:val="1"/>
        </w:numPr>
        <w:wordWrap/>
        <w:overflowPunct/>
        <w:topLinePunct w:val="0"/>
        <w:bidi w:val="0"/>
        <w:spacing w:line="560" w:lineRule="exact"/>
        <w:ind w:left="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部门（单位）年度整体支出绩效目标，部门专项资金绩效目标、其他项目支出（除省级专项资金以外）绩效目标。</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按照城市考评工作要求，有力有序有效开展各项工作，争取在市区城市考评中名次靠前；加强城区内各办事处所辖行政区域内的生活垃圾清运及垃圾站点清扫保洁及维护管理，做到垃圾日产日清；加强建宁驿站精细化管理，建立全市建宁驿站管护长效机制。</w:t>
      </w:r>
    </w:p>
    <w:p>
      <w:pPr>
        <w:keepNext w:val="0"/>
        <w:keepLines w:val="0"/>
        <w:pageBreakBefore w:val="0"/>
        <w:wordWrap/>
        <w:overflowPunct/>
        <w:topLinePunct w:val="0"/>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keepNext w:val="0"/>
        <w:keepLines w:val="0"/>
        <w:pageBreakBefore w:val="0"/>
        <w:wordWrap/>
        <w:overflowPunct/>
        <w:topLinePunct w:val="0"/>
        <w:bidi w:val="0"/>
        <w:spacing w:line="560" w:lineRule="exact"/>
        <w:ind w:lef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（一）基本支出情况</w:t>
      </w:r>
    </w:p>
    <w:p>
      <w:pPr>
        <w:keepNext w:val="0"/>
        <w:keepLines w:val="0"/>
        <w:pageBreakBefore w:val="0"/>
        <w:wordWrap/>
        <w:overflowPunct/>
        <w:topLinePunct w:val="0"/>
        <w:bidi w:val="0"/>
        <w:spacing w:line="560" w:lineRule="exact"/>
        <w:ind w:lef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2022年预算资金一般公共预算财政拨款5242.27万元。</w:t>
      </w:r>
    </w:p>
    <w:p>
      <w:pPr>
        <w:keepNext w:val="0"/>
        <w:keepLines w:val="0"/>
        <w:pageBreakBefore w:val="0"/>
        <w:wordWrap/>
        <w:overflowPunct/>
        <w:topLinePunct w:val="0"/>
        <w:bidi w:val="0"/>
        <w:spacing w:line="560" w:lineRule="exact"/>
        <w:ind w:lef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2022年度单位一般公共预算财政拨款收入5242.27万元。</w:t>
      </w:r>
    </w:p>
    <w:p>
      <w:pPr>
        <w:keepNext w:val="0"/>
        <w:keepLines w:val="0"/>
        <w:pageBreakBefore w:val="0"/>
        <w:wordWrap/>
        <w:overflowPunct/>
        <w:topLinePunct w:val="0"/>
        <w:bidi w:val="0"/>
        <w:spacing w:line="560" w:lineRule="exact"/>
        <w:ind w:left="0" w:firstLine="640" w:firstLineChars="200"/>
        <w:jc w:val="both"/>
        <w:rPr>
          <w:rFonts w:hint="default" w:ascii="Times New Roman" w:hAnsi="Times New Roman" w:eastAsia="仿宋" w:cs="Times New Roman"/>
          <w:color w:val="0000FF"/>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2022年度单位一般公共预算财政拨款支出4962.27万元。其中：项目支出3217.01万元，基本支出1745.26万元，其中：人员经费1584.66万元，公用经费160.6万元。</w:t>
      </w:r>
    </w:p>
    <w:p>
      <w:pPr>
        <w:pStyle w:val="9"/>
        <w:keepNext w:val="0"/>
        <w:keepLines w:val="0"/>
        <w:pageBreakBefore w:val="0"/>
        <w:numPr>
          <w:ilvl w:val="0"/>
          <w:numId w:val="2"/>
        </w:numPr>
        <w:wordWrap/>
        <w:overflowPunct/>
        <w:topLinePunct w:val="0"/>
        <w:bidi w:val="0"/>
        <w:spacing w:line="560" w:lineRule="exact"/>
        <w:ind w:left="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9"/>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环卫市场化项目支出2917.93万元；2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建宁驿站项目支出135.28万元；3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公厕、垃圾站运营维护、改造项目支出17.88万元；4</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大气污染防治项目支出95.92万元；5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环卫市政用水项目支出50万元。</w:t>
      </w:r>
      <w:r>
        <w:rPr>
          <w:rFonts w:hint="default" w:ascii="Times New Roman" w:hAnsi="Times New Roman" w:eastAsia="仿宋_GB2312" w:cs="Times New Roman"/>
          <w:sz w:val="32"/>
          <w:szCs w:val="32"/>
        </w:rPr>
        <w:t>我中心各项专项资金的申请、使用都符合国家及上级部门的管理规定，按实际使用需求和规定程序向芦淞区财政局和上级单位芦淞区城管局申请审批资金。各项专项资金的使用，都坚持专款专用的的原则，使各项专用资金正确使用并达到预期目标。</w:t>
      </w:r>
    </w:p>
    <w:p>
      <w:pPr>
        <w:pStyle w:val="9"/>
        <w:keepNext w:val="0"/>
        <w:keepLines w:val="0"/>
        <w:pageBreakBefore w:val="0"/>
        <w:numPr>
          <w:ilvl w:val="0"/>
          <w:numId w:val="3"/>
        </w:numPr>
        <w:wordWrap/>
        <w:overflowPunct/>
        <w:topLinePunct w:val="0"/>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pStyle w:val="9"/>
        <w:keepNext w:val="0"/>
        <w:keepLines w:val="0"/>
        <w:pageBreakBefore w:val="0"/>
        <w:wordWrap/>
        <w:overflowPunct/>
        <w:topLinePunct w:val="0"/>
        <w:bidi w:val="0"/>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2022年度政府性基金预算支出金额为280万元。</w:t>
      </w:r>
    </w:p>
    <w:p>
      <w:pPr>
        <w:pStyle w:val="9"/>
        <w:keepNext w:val="0"/>
        <w:keepLines w:val="0"/>
        <w:pageBreakBefore w:val="0"/>
        <w:numPr>
          <w:ilvl w:val="0"/>
          <w:numId w:val="4"/>
        </w:numPr>
        <w:wordWrap/>
        <w:overflowPunct/>
        <w:topLinePunct w:val="0"/>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9"/>
        <w:keepNext w:val="0"/>
        <w:keepLines w:val="0"/>
        <w:pageBreakBefore w:val="0"/>
        <w:wordWrap/>
        <w:overflowPunct/>
        <w:topLinePunct w:val="0"/>
        <w:bidi w:val="0"/>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无。</w:t>
      </w:r>
    </w:p>
    <w:p>
      <w:pPr>
        <w:pStyle w:val="9"/>
        <w:keepNext w:val="0"/>
        <w:keepLines w:val="0"/>
        <w:pageBreakBefore w:val="0"/>
        <w:numPr>
          <w:ilvl w:val="0"/>
          <w:numId w:val="4"/>
        </w:numPr>
        <w:wordWrap/>
        <w:overflowPunct/>
        <w:topLinePunct w:val="0"/>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9"/>
        <w:keepNext w:val="0"/>
        <w:keepLines w:val="0"/>
        <w:pageBreakBefore w:val="0"/>
        <w:wordWrap/>
        <w:overflowPunct/>
        <w:topLinePunct w:val="0"/>
        <w:bidi w:val="0"/>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w:t>
      </w:r>
    </w:p>
    <w:p>
      <w:pPr>
        <w:keepNext w:val="0"/>
        <w:keepLines w:val="0"/>
        <w:pageBreakBefore w:val="0"/>
        <w:wordWrap/>
        <w:overflowPunct/>
        <w:topLinePunct w:val="0"/>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wordWrap/>
        <w:overflowPunct/>
        <w:topLinePunct w:val="0"/>
        <w:bidi w:val="0"/>
        <w:spacing w:line="560" w:lineRule="exact"/>
        <w:ind w:left="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wordWrap/>
        <w:overflowPunct/>
        <w:topLinePunct w:val="0"/>
        <w:bidi w:val="0"/>
        <w:spacing w:line="560" w:lineRule="exact"/>
        <w:ind w:lef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2022年，我中心在区委区政府的坚强领导下，在市、区城管局的悉心指导下，围绕区政府</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以绣花功夫做好城市精细化管理，抓好‘三微’实事，让城市生活更方便、更舒心、更美好</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的提升城市品质目标，带领中心干部职工积极开展各项工作。</w:t>
      </w:r>
    </w:p>
    <w:p>
      <w:pPr>
        <w:keepNext w:val="0"/>
        <w:keepLines w:val="0"/>
        <w:pageBreakBefore w:val="0"/>
        <w:wordWrap/>
        <w:overflowPunct/>
        <w:topLinePunct w:val="0"/>
        <w:bidi w:val="0"/>
        <w:spacing w:line="560" w:lineRule="exact"/>
        <w:ind w:lef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环卫市场化管理高效有序。</w:t>
      </w:r>
      <w:r>
        <w:rPr>
          <w:rFonts w:hint="default" w:ascii="Times New Roman" w:hAnsi="Times New Roman" w:eastAsia="仿宋_GB2312" w:cs="Times New Roman"/>
          <w:kern w:val="2"/>
          <w:sz w:val="32"/>
          <w:szCs w:val="32"/>
          <w:lang w:val="en-US" w:eastAsia="zh-CN" w:bidi="ar-SA"/>
        </w:rPr>
        <w:t>根据市、区城市管理工作要求，严格按照《株洲市芦淞区环境卫生管理考评办法》《株洲市芦淞区环境卫生考评细则及标准》，以“白+黑”的模式，对520万㎡的道路清扫保洁、26座公厕的保洁、35座建宁驿站的管养及垃圾清运等进行检查考评，并根据综合评议结果，按月拨付环卫保洁经费，实行经费与绩效挂钩，确保了市场化良性运转，日常监管常态长效。全年，共计清运生活垃圾约115713.95吨；对辖区公司下达业务督办141期，督查通报32期；处理环卫类案卷18188条，案卷处置率97%；清理建宁驿站和垃圾中转站设施设备方面的历史遗留案卷483条；芦淞区环卫专业成绩在全市城市管理考核评比中取得3个第一名、2个第二名、2个第三名，综合排名第二。</w:t>
      </w:r>
    </w:p>
    <w:p>
      <w:pPr>
        <w:keepNext w:val="0"/>
        <w:keepLines w:val="0"/>
        <w:pageBreakBefore w:val="0"/>
        <w:wordWrap/>
        <w:overflowPunct/>
        <w:topLinePunct w:val="0"/>
        <w:bidi w:val="0"/>
        <w:spacing w:line="560" w:lineRule="exact"/>
        <w:ind w:lef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环卫设施提质改造扎实有效。</w:t>
      </w:r>
      <w:r>
        <w:rPr>
          <w:rFonts w:hint="default" w:ascii="Times New Roman" w:hAnsi="Times New Roman" w:eastAsia="仿宋_GB2312" w:cs="Times New Roman"/>
          <w:kern w:val="2"/>
          <w:sz w:val="32"/>
          <w:szCs w:val="32"/>
          <w:lang w:val="en-US" w:eastAsia="zh-CN" w:bidi="ar-SA"/>
        </w:rPr>
        <w:t>文化园、三角叉垃圾站升级改造项目，分别于1月20日、9月1日全面建设完成并投入使用。改造后的两座转运站均为双机位压缩箱，日处理量达到100吨，实现了垃圾不落地，可达到厨余垃圾和其他垃圾分类转运，密闭运输，为进一步推进我区垃圾分类工作提供了基础保障。</w:t>
      </w:r>
    </w:p>
    <w:p>
      <w:pPr>
        <w:keepNext w:val="0"/>
        <w:keepLines w:val="0"/>
        <w:pageBreakBefore w:val="0"/>
        <w:wordWrap/>
        <w:overflowPunct/>
        <w:topLinePunct w:val="0"/>
        <w:bidi w:val="0"/>
        <w:spacing w:line="560" w:lineRule="exact"/>
        <w:ind w:lef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建宁驿站管养规范服务优质</w:t>
      </w:r>
      <w:r>
        <w:rPr>
          <w:rFonts w:hint="default" w:ascii="Times New Roman" w:hAnsi="Times New Roman" w:eastAsia="仿宋_GB2312" w:cs="Times New Roman"/>
          <w:kern w:val="2"/>
          <w:sz w:val="32"/>
          <w:szCs w:val="32"/>
          <w:lang w:val="en-US" w:eastAsia="zh-CN" w:bidi="ar-SA"/>
        </w:rPr>
        <w:t>。1-3月份，积极推进驿站市场化运作，期间有序完成驿站招投标以及驿站人员、设施、水电的交接工作等。建宁驿站从4月1日起实行市场化管养，市场化公司陆续开展了一系列的人员科学合理调配、精细化保洁培训、设施定期深度维修、安装人脸识别厕纸机（12台）等工作。驿站市场化管养工作从驿站设施完好到高标准服务市民均步入良性轨道。</w:t>
      </w:r>
    </w:p>
    <w:p>
      <w:pPr>
        <w:keepNext w:val="0"/>
        <w:keepLines w:val="0"/>
        <w:pageBreakBefore w:val="0"/>
        <w:wordWrap/>
        <w:overflowPunct/>
        <w:topLinePunct w:val="0"/>
        <w:bidi w:val="0"/>
        <w:spacing w:line="560" w:lineRule="exact"/>
        <w:ind w:lef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w:t>
      </w:r>
      <w:r>
        <w:rPr>
          <w:rFonts w:hint="eastAsia"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环线项目管理服务提质增效。</w:t>
      </w:r>
      <w:r>
        <w:rPr>
          <w:rFonts w:hint="default" w:ascii="Times New Roman" w:hAnsi="Times New Roman" w:eastAsia="仿宋_GB2312" w:cs="Times New Roman"/>
          <w:kern w:val="2"/>
          <w:sz w:val="32"/>
          <w:szCs w:val="32"/>
          <w:lang w:val="en-US" w:eastAsia="zh-CN" w:bidi="ar-SA"/>
        </w:rPr>
        <w:t>生命通道及环线区域的环卫作业面积为102万㎡，配备了雾炮车2台、扫地车3台、冲水车4台、2台小型高压冲洗车、保洁车12台，日常主要采取人工、机械相结合的方式，实行18小时道路清扫保洁、冲洗作业。同时，认真开展大气污染防治工作，每天（未下雨的情况下）安排专人、专车严格按照作业路线和要求进行循环降尘洒水。环线项目部科学组织、严格管理、设备配备优良，管辖区域的环境卫生质量得到进一步提升。</w:t>
      </w:r>
    </w:p>
    <w:p>
      <w:pPr>
        <w:keepNext w:val="0"/>
        <w:keepLines w:val="0"/>
        <w:pageBreakBefore w:val="0"/>
        <w:wordWrap/>
        <w:overflowPunct/>
        <w:topLinePunct w:val="0"/>
        <w:bidi w:val="0"/>
        <w:spacing w:line="560" w:lineRule="exact"/>
        <w:ind w:lef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5</w:t>
      </w:r>
      <w:r>
        <w:rPr>
          <w:rFonts w:hint="eastAsia"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环卫专项工作开展亮点纷呈。</w:t>
      </w:r>
      <w:r>
        <w:rPr>
          <w:rFonts w:hint="default" w:ascii="Times New Roman" w:hAnsi="Times New Roman" w:eastAsia="仿宋_GB2312" w:cs="Times New Roman"/>
          <w:kern w:val="2"/>
          <w:sz w:val="32"/>
          <w:szCs w:val="32"/>
          <w:lang w:val="en-US" w:eastAsia="zh-CN" w:bidi="ar-SA"/>
        </w:rPr>
        <w:t>一是不断推进城市管理精细化示范街区工作。全年，严格按照《关于创建城市管理精细化示范街工作方案》的工作要求，成功创建了建设中路（七一路口—车站路口）、建设路（车站路口至拥军路口）和车站路三条示范街。确定责任领导、责任人，要求责任公司加强日常路面保洁、精细化人工清洗，及时处理路面突发污染事故，并添置了小型高温高压冲洗车、电动手推式洗地机等作业设备，不断促提城市管理精细化水平。二是重难点、反复性问题百日攻坚工作。根据市、区重点工作要求，积极协调解决钟鼓岭内工地垃圾、金冠后巷定时定点垃圾收集、湘江村垃圾等重难点问题7个，整改建宁驿站天花板漏水（曦美苑、磨子塘、幸福村左等）、外墙及户外广告的清洗和更换、墙面修复等问题15个。该项工作已纳入日常巡查考核，将继续不定期进行督查，确保精细化、长效化管理。三是认真开展大气污染防治工作。根据《关于进一步明确道路扬尘管控工作的通知》（株城管办〔2021〕35号）文件，我中心严格按照作业路线和标准要求在芦淞区主次干道进行循环降尘洒水作业，进一步加强了我区道路扬尘管控，改善了辖区空气质量。四是推进垃圾中转站数字化管理工作。结合市城管局关于进一步规范生活垃圾收运工作的相关要求，推进建设垃圾中转站数字化管理平台，投入资金约12万元，对辖区12座垃圾站安装监控设备、连接网络。通过平台管理，对垃圾中转站及收运车辆进行全方位实时监管，实现垃圾中转站全过程数字化管理。五是认真开展创文整改工作。按照市、区两级关于创文整改要求，对标对表，紧扣问题导向和薄弱环节，认真开展了垃圾容器整治、绿化带清理、居民社区大清理、钟鼓岭油污清洗等环境卫生整治工作。期间，共修复果皮箱30多个，内胆更换408个，欧盟桶整改、更换、规范设置860个，更换完善分类标识580处。对辖区老旧小区开展大清理165次、大整治行动98次，小区内的卫生死角412处、牛皮癣5050条、屋檐垃圾1320处等均列入重点清理范围。对主次干道、河港堤坝等开展环境卫生大整治行动，共开展清理整治481次，清理废弃物、漂浮物496吨，清理清除各类乱贴乱画3232处。六是全力以赴完成国文复审工作。有序组织辖区各保洁公司对辖区道路进行大清洗，对35座建宁驿站、23座公厕、12座垃圾中转站进行外墙清洗和卫生死角清除，确保以最佳的状态迎检。并组织全员齐上阵，在辖区各重点区域定人定责进行值守，安排人员参与文明传导志愿服务岗活动，确保了我市的国文复审工作顺利通过。同时，还有序完成了公厕环保整改、垃圾清运车辆规范化管理、垃圾容器整治等专项工作。</w:t>
      </w:r>
    </w:p>
    <w:p>
      <w:pPr>
        <w:keepNext w:val="0"/>
        <w:keepLines w:val="0"/>
        <w:pageBreakBefore w:val="0"/>
        <w:wordWrap/>
        <w:overflowPunct/>
        <w:topLinePunct w:val="0"/>
        <w:bidi w:val="0"/>
        <w:spacing w:line="560" w:lineRule="exact"/>
        <w:ind w:lef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6</w:t>
      </w:r>
      <w:r>
        <w:rPr>
          <w:rFonts w:hint="eastAsia"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疫情防控工作开展有力有序。</w:t>
      </w:r>
      <w:r>
        <w:rPr>
          <w:rFonts w:hint="default" w:ascii="Times New Roman" w:hAnsi="Times New Roman" w:eastAsia="仿宋_GB2312" w:cs="Times New Roman"/>
          <w:kern w:val="2"/>
          <w:sz w:val="32"/>
          <w:szCs w:val="32"/>
          <w:lang w:val="en-US" w:eastAsia="zh-CN" w:bidi="ar-SA"/>
        </w:rPr>
        <w:t>在11月的疫情期间，攻坚克难，科学有序组织调配人员及设备力量，做到垃圾日产日清，清运生活垃圾约7000吨，妥善处理中高风险区域垃圾3000吨，全面做好环卫工人防护、环卫设施设备消杀、日常保洁、公厕管理等工作。并组织人员力量多次支援完成芦淞辖区内的部分企业、园区、学校等一个个防控突击重任；分派人员参与社区下沉、高速路口值守（从4月底起至11月底，组织安排中心干部职工参加白关、姚家坝、芷钱桥高速收费站点出口疫情防控值守达157人次），开展排查、防护、服务工作，和全区一道共同构筑群防群控的严密防线。通过大家不懈的坚守，确保了芦淞区环卫队伍的安全稳定，环境卫生的干净整洁，为人民群众建起一座牢固的生命安全屏帐。</w:t>
      </w:r>
    </w:p>
    <w:p>
      <w:pPr>
        <w:keepNext w:val="0"/>
        <w:keepLines w:val="0"/>
        <w:pageBreakBefore w:val="0"/>
        <w:wordWrap/>
        <w:overflowPunct/>
        <w:topLinePunct w:val="0"/>
        <w:bidi w:val="0"/>
        <w:spacing w:line="560" w:lineRule="exact"/>
        <w:ind w:lef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7</w:t>
      </w:r>
      <w:r>
        <w:rPr>
          <w:rFonts w:hint="eastAsia"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安全生产夯实基础常抓不懈</w:t>
      </w:r>
      <w:r>
        <w:rPr>
          <w:rFonts w:hint="default" w:ascii="Times New Roman" w:hAnsi="Times New Roman" w:eastAsia="仿宋_GB2312" w:cs="Times New Roman"/>
          <w:kern w:val="2"/>
          <w:sz w:val="32"/>
          <w:szCs w:val="32"/>
          <w:lang w:val="en-US" w:eastAsia="zh-CN" w:bidi="ar-SA"/>
        </w:rPr>
        <w:t>。一是制定《2022年安全生产工作实施方案》，成立了安全生产工作领导小组，并健全各项安全制度，进行责任分解，做到年初工作有计划，组织实施有目标，检查工作有台账，发现问题有整改落实。二是以各类会议为媒介，逢会必讲，盯紧督促各市场化公司做好各类安全事故的预防工作，时刻绷紧安全生产工作这根弦。三是在日常工作中采取自查、抽查、专项检查等方式，定期组织开展日常安全生产检查。坚持每季度对环卫设施设备（重点是公司停车场、垃圾中转站和建宁驿站、公厕等）进行抽查，并在重大的活动或节假日前开展车辆安全专项检查。全年，共开展各类安全检查8次，发布检查通报5份，发现安全隐患192处，已督促相关公司限时整改，及时消除安全隐患。并针对长沙自建房屋垮塌事件对辖区内公共厕所的用电安全和设备运行情况进行了重点检查，按照环保整改要求对辖区23座公厕下水管网进行普查等，最大程度确保了全区环卫工作安全有序运转。</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5" w:firstLineChars="200"/>
        <w:jc w:val="both"/>
        <w:textAlignment w:val="baseline"/>
        <w:rPr>
          <w:rFonts w:hint="eastAsia" w:ascii="楷体_GB2312" w:hAnsi="楷体_GB2312" w:eastAsia="楷体_GB2312" w:cs="楷体_GB2312"/>
          <w:b/>
          <w:bCs/>
          <w:spacing w:val="8"/>
          <w:sz w:val="32"/>
          <w:szCs w:val="32"/>
          <w:shd w:val="clear" w:color="auto" w:fill="FFFFFF"/>
        </w:rPr>
      </w:pPr>
      <w:r>
        <w:rPr>
          <w:rFonts w:hint="eastAsia" w:ascii="楷体_GB2312" w:hAnsi="楷体_GB2312" w:eastAsia="楷体_GB2312" w:cs="楷体_GB2312"/>
          <w:b/>
          <w:bCs/>
          <w:spacing w:val="8"/>
          <w:sz w:val="32"/>
          <w:szCs w:val="32"/>
          <w:shd w:val="clear" w:color="auto" w:fill="FFFFFF"/>
        </w:rPr>
        <w:t>（二）专项资金支出绩效情况</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2022年本中心专项分为5个大项，资金总额3217.01万元。</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环卫市场化项目支出2917.93万元，其中一是垃圾清运市场化178.67万元。立项依据是通过政府采购与湖南蓝天物业管理有限公司签订芦淞区垃圾站及垃圾清运市场化服务项目合同，项目绩效情况：加强城区各办事处所辖行政区域及白关镇的生活垃圾清运及垃圾站点清扫保洁及维护管理。2022年，全年清运城区、乡镇生活垃圾约11.57万吨，日产日清，垃圾清运率达100％。二是环卫市场化经费2739.26万元，项目绩效情况：严格按照市、区城市管理考评工作要求，有效开展道路清扫保洁、垃圾清运、公厕保洁等管理工作。根据《株洲市芦淞区环境卫生管理考评办法》及《株洲市芦淞区环境卫生考评细则及标准》进行检查考评，对辖区公司下达业务督办141期，督查通报32期；处理环卫类案卷18188条，案卷处置率97%；全年，芦淞区环卫专业成绩在全市城市管理考核评比中取得3个第一名、2个第二名、2个第三名，综合排名第二。</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建宁驿站运维金额135.28万元，立项依据是通过政府采购与北京华泰德佳科技有限公司签订芦淞区建宁驿站服务项目合同，项目绩效情况：围绕建宁驿站“干净整洁、设施完好、功能完备、管理规范、服务一流”的目标要求，严格按照市、区城市管理考评工作要求，有效开展建宁驿站清扫保洁、运营维护等管理工作。根据《株洲市芦淞区环境卫生管理考评办法》及《株洲市芦淞区环境卫生考评细则及标准》进行检查考评。全区建宁驿站共35座，实行专人专责进行日常管理。全年，组织驿站管理人员进行集中业务培训9次，维修驿站约840余座次，疏通下水680余次、添置卫生纸8000余卷、洗手液180袋、马桶垫1080卷、垃圾袋3600余卷、更换灯泡120个、水龙头48个。同时也引起了各领导的关注和各界考察团来建宁驿站参观交流。自2022年共接待各级领导视察20余次，得到各级领导的一致肯定。</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公厕、垃圾站运营维护、改造项目17.88万元，项目绩效情况：垃圾中转站是重要的基础设施，是城乡公共环境卫生体系的重要组成部分，垃圾中转站的运行关系到村镇生态环境，关系到人民群众的切身利益。垃圾中转站的改造不仅美化了环境,还杜绝了二次污染,减少了蚊虫的滋生,提高了垃圾处理效率。公厕改造完成后，提高了公厕管理水平，设施方便、清洁、节能、美观，为广大市民提供便捷舒适的如厕环境。</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四、环卫市政用水项目50万元，项目绩效情况：保障园林市政用水及环卫道路洒水用水需求，提升道路冲洗作业质量；</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大气污染防治项目95.92万元，项目绩效情况：按照环保部门的工作要求，加强对重点路段及周边的洒水及雾炮降尘作业，保证路面湿润度，做好大气污染防治工作。对重点路段及周边的洒水降尘及雾炮车作业，每天（未下雨的情况下）安排专人、专车，严格按照作业路线和标准要求在芦淞区主次干道进行循环洒水降尘作业。为打赢“蓝天保卫战”提供强有力的保障。</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5" w:firstLineChars="200"/>
        <w:jc w:val="both"/>
        <w:textAlignment w:val="baseline"/>
        <w:rPr>
          <w:rFonts w:hint="default" w:ascii="Times New Roman" w:hAnsi="Times New Roman" w:eastAsia="黑体" w:cs="Times New Roman"/>
          <w:b/>
          <w:bCs/>
          <w:spacing w:val="8"/>
          <w:sz w:val="32"/>
          <w:szCs w:val="32"/>
          <w:shd w:val="clear" w:color="auto" w:fill="FFFFFF"/>
        </w:rPr>
      </w:pPr>
      <w:r>
        <w:rPr>
          <w:rFonts w:hint="default" w:ascii="Times New Roman" w:hAnsi="Times New Roman" w:eastAsia="黑体" w:cs="Times New Roman"/>
          <w:b/>
          <w:bCs/>
          <w:spacing w:val="8"/>
          <w:sz w:val="32"/>
          <w:szCs w:val="32"/>
          <w:shd w:val="clear" w:color="auto" w:fill="FFFFFF"/>
        </w:rPr>
        <w:t>七、存在的问题及原因分析</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一、预算编制工作有待细化和加强。预算编制不够明确和细化，预算执行力力度有待加强。</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二、公用经费控制有待加强。公用经费支出基本为刚性支出，控制有一定的难度。</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default" w:ascii="Times New Roman" w:hAnsi="Times New Roman" w:eastAsia="黑体" w:cs="Times New Roman"/>
          <w:b w:val="0"/>
          <w:bCs w:val="0"/>
          <w:spacing w:val="8"/>
          <w:sz w:val="32"/>
          <w:szCs w:val="32"/>
          <w:shd w:val="clear" w:color="auto" w:fill="FFFFFF"/>
        </w:rPr>
      </w:pPr>
      <w:r>
        <w:rPr>
          <w:rFonts w:hint="default" w:ascii="Times New Roman" w:hAnsi="Times New Roman" w:eastAsia="黑体" w:cs="Times New Roman"/>
          <w:b w:val="0"/>
          <w:bCs w:val="0"/>
          <w:spacing w:val="8"/>
          <w:sz w:val="32"/>
          <w:szCs w:val="32"/>
          <w:shd w:val="clear" w:color="auto" w:fill="FFFFFF"/>
        </w:rPr>
        <w:t>八、下一步改进措施</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不断加强资金支出管理，积极推进预算绩效管理工作，着力完善“预算编制有目标、预算执行有监控、预算完成有评价”的预算绩效管理机制，不断提高资金使用效益。</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default" w:ascii="Times New Roman" w:hAnsi="Times New Roman" w:eastAsia="黑体" w:cs="Times New Roman"/>
          <w:b w:val="0"/>
          <w:bCs w:val="0"/>
          <w:spacing w:val="8"/>
          <w:sz w:val="32"/>
          <w:szCs w:val="32"/>
          <w:shd w:val="clear" w:color="auto" w:fill="FFFFFF"/>
        </w:rPr>
      </w:pPr>
      <w:r>
        <w:rPr>
          <w:rFonts w:hint="default" w:ascii="Times New Roman" w:hAnsi="Times New Roman" w:eastAsia="黑体" w:cs="Times New Roman"/>
          <w:b w:val="0"/>
          <w:bCs w:val="0"/>
          <w:spacing w:val="8"/>
          <w:sz w:val="32"/>
          <w:szCs w:val="32"/>
          <w:shd w:val="clear" w:color="auto" w:fill="FFFFFF"/>
        </w:rPr>
        <w:t>九、绩效自评结果拟应用和公开情况</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此次绩效自评结果将广泛运用于预算编制和财政资金管理中，将深化绩效自评的效用，优化资金配置，提高财政资金的使用效率，进一步深化预算绩效管理的意识，提高预算绩效管理的水平。本单位无独立网站，</w:t>
      </w:r>
      <w:r>
        <w:rPr>
          <w:rFonts w:hint="default" w:ascii="Times New Roman" w:hAnsi="Times New Roman" w:eastAsia="仿宋_GB2312" w:cs="Times New Roman"/>
          <w:kern w:val="2"/>
          <w:sz w:val="32"/>
          <w:szCs w:val="32"/>
          <w:lang w:val="en-US" w:eastAsia="zh-CN" w:bidi="ar-SA"/>
        </w:rPr>
        <w:t>绩效自评报告</w:t>
      </w:r>
      <w:r>
        <w:rPr>
          <w:rFonts w:hint="eastAsia" w:eastAsia="仿宋_GB2312" w:cs="Times New Roman"/>
          <w:kern w:val="2"/>
          <w:sz w:val="32"/>
          <w:szCs w:val="32"/>
          <w:lang w:val="en-US" w:eastAsia="zh-CN" w:bidi="ar-SA"/>
        </w:rPr>
        <w:t>将与决算公开一起</w:t>
      </w:r>
      <w:r>
        <w:rPr>
          <w:rFonts w:hint="default" w:ascii="Times New Roman" w:hAnsi="Times New Roman" w:eastAsia="仿宋_GB2312" w:cs="Times New Roman"/>
          <w:kern w:val="2"/>
          <w:sz w:val="32"/>
          <w:szCs w:val="32"/>
          <w:lang w:val="en-US" w:eastAsia="zh-CN" w:bidi="ar-SA"/>
        </w:rPr>
        <w:t>在政府门户网站与决算报告一起公开。</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十、其他需要说明的情</w:t>
      </w:r>
      <w:bookmarkStart w:id="0" w:name="_GoBack"/>
      <w:bookmarkEnd w:id="0"/>
      <w:r>
        <w:rPr>
          <w:rFonts w:hint="default" w:ascii="Times New Roman" w:hAnsi="Times New Roman" w:eastAsia="黑体" w:cs="Times New Roman"/>
          <w:kern w:val="2"/>
          <w:sz w:val="32"/>
          <w:szCs w:val="32"/>
          <w:lang w:val="en-US" w:eastAsia="zh-CN" w:bidi="ar-SA"/>
        </w:rPr>
        <w:t>况</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default" w:ascii="Times New Roman" w:hAnsi="Times New Roman" w:eastAsia="仿宋" w:cs="Times New Roman"/>
          <w:spacing w:val="8"/>
          <w:sz w:val="32"/>
          <w:szCs w:val="32"/>
          <w:shd w:val="clear" w:color="auto" w:fill="FFFFFF"/>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9C7C3"/>
    <w:multiLevelType w:val="singleLevel"/>
    <w:tmpl w:val="A4C9C7C3"/>
    <w:lvl w:ilvl="0" w:tentative="0">
      <w:start w:val="4"/>
      <w:numFmt w:val="chineseCounting"/>
      <w:suff w:val="nothing"/>
      <w:lvlText w:val="%1、"/>
      <w:lvlJc w:val="left"/>
      <w:rPr>
        <w:rFonts w:hint="eastAsia"/>
      </w:rPr>
    </w:lvl>
  </w:abstractNum>
  <w:abstractNum w:abstractNumId="1">
    <w:nsid w:val="45C3DF13"/>
    <w:multiLevelType w:val="singleLevel"/>
    <w:tmpl w:val="45C3DF13"/>
    <w:lvl w:ilvl="0" w:tentative="0">
      <w:start w:val="2"/>
      <w:numFmt w:val="chineseCounting"/>
      <w:suff w:val="nothing"/>
      <w:lvlText w:val="（%1）"/>
      <w:lvlJc w:val="left"/>
      <w:rPr>
        <w:rFonts w:hint="eastAsia"/>
      </w:rPr>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abstractNum w:abstractNumId="3">
    <w:nsid w:val="6528A13F"/>
    <w:multiLevelType w:val="singleLevel"/>
    <w:tmpl w:val="6528A13F"/>
    <w:lvl w:ilvl="0" w:tentative="0">
      <w:start w:val="3"/>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2E35AF"/>
    <w:rsid w:val="00004E70"/>
    <w:rsid w:val="00207FA3"/>
    <w:rsid w:val="00265DBE"/>
    <w:rsid w:val="002E35AF"/>
    <w:rsid w:val="005A433C"/>
    <w:rsid w:val="00721BBC"/>
    <w:rsid w:val="00746525"/>
    <w:rsid w:val="008C62A7"/>
    <w:rsid w:val="00A56C8A"/>
    <w:rsid w:val="00AE2923"/>
    <w:rsid w:val="00D5092F"/>
    <w:rsid w:val="00E55161"/>
    <w:rsid w:val="00EE77CA"/>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15266F"/>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2757D4"/>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562965"/>
    <w:rsid w:val="1E601115"/>
    <w:rsid w:val="1EB03217"/>
    <w:rsid w:val="1F000FB0"/>
    <w:rsid w:val="1F111AD7"/>
    <w:rsid w:val="1F5A1E7F"/>
    <w:rsid w:val="1FA707DF"/>
    <w:rsid w:val="1FFE7B8C"/>
    <w:rsid w:val="202E3FAC"/>
    <w:rsid w:val="203C025A"/>
    <w:rsid w:val="20775CA3"/>
    <w:rsid w:val="217A1AB1"/>
    <w:rsid w:val="22695B47"/>
    <w:rsid w:val="243235AA"/>
    <w:rsid w:val="24637B8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2F6D2F"/>
    <w:rsid w:val="2E69253C"/>
    <w:rsid w:val="2EEF2198"/>
    <w:rsid w:val="2F0246FC"/>
    <w:rsid w:val="2F080155"/>
    <w:rsid w:val="2FFE1C01"/>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6B1C15"/>
    <w:rsid w:val="399C1F0E"/>
    <w:rsid w:val="3A003CFF"/>
    <w:rsid w:val="3A1339C4"/>
    <w:rsid w:val="3AEB7F95"/>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0FF79E9"/>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1D13309"/>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5872"/>
    <w:rsid w:val="57837BDE"/>
    <w:rsid w:val="57935E95"/>
    <w:rsid w:val="58152013"/>
    <w:rsid w:val="58CE683B"/>
    <w:rsid w:val="59A40B9B"/>
    <w:rsid w:val="5A3C1A0D"/>
    <w:rsid w:val="5A6A2A29"/>
    <w:rsid w:val="5A9244F7"/>
    <w:rsid w:val="5AF97A89"/>
    <w:rsid w:val="5B352171"/>
    <w:rsid w:val="5B440F95"/>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812E7A"/>
    <w:rsid w:val="70AD1C74"/>
    <w:rsid w:val="711C4732"/>
    <w:rsid w:val="7198578C"/>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qFormat/>
    <w:uiPriority w:val="0"/>
    <w:pPr>
      <w:spacing w:line="360" w:lineRule="auto"/>
      <w:ind w:firstLine="200" w:firstLineChars="200"/>
    </w:pPr>
    <w:rPr>
      <w:rFonts w:ascii="方正仿宋_GBK" w:eastAsia="方正仿宋_GBK"/>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qFormat/>
    <w:uiPriority w:val="0"/>
    <w:pPr>
      <w:ind w:firstLine="420"/>
    </w:pPr>
    <w:rPr>
      <w:rFonts w:cs="仿宋_GB2312"/>
      <w:szCs w:val="32"/>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4945</Words>
  <Characters>5209</Characters>
  <Lines>37</Lines>
  <Paragraphs>10</Paragraphs>
  <TotalTime>5</TotalTime>
  <ScaleCrop>false</ScaleCrop>
  <LinksUpToDate>false</LinksUpToDate>
  <CharactersWithSpaces>5209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2023-11-23T01:35:12Z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11EAE15F0F514710AD806ED64D851537_13</vt:lpwstr>
  </property>
</Properties>
</file>