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val="en-US" w:eastAsia="zh-CN"/>
        </w:rPr>
        <w:t>董家塅街道办事处</w:t>
      </w:r>
    </w:p>
    <w:p>
      <w:pPr>
        <w:jc w:val="center"/>
        <w:rPr>
          <w:rFonts w:eastAsia="方正小标宋_GBK"/>
          <w:sz w:val="48"/>
          <w:szCs w:val="48"/>
        </w:rPr>
      </w:pPr>
      <w:r>
        <w:rPr>
          <w:rFonts w:hint="eastAsia" w:eastAsia="方正小标宋_GBK"/>
          <w:sz w:val="48"/>
          <w:szCs w:val="48"/>
          <w:lang w:eastAsia="zh-CN"/>
        </w:rPr>
        <w:t>整体</w:t>
      </w:r>
      <w:r>
        <w:rPr>
          <w:rFonts w:eastAsia="方正小标宋_GBK"/>
          <w:sz w:val="48"/>
          <w:szCs w:val="48"/>
        </w:rPr>
        <w:t>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b w:val="0"/>
          <w:bCs w:val="0"/>
          <w:sz w:val="44"/>
          <w:szCs w:val="44"/>
        </w:rPr>
      </w:pPr>
    </w:p>
    <w:p>
      <w:pPr>
        <w:jc w:val="center"/>
        <w:rPr>
          <w:rFonts w:eastAsia="仿宋_GB2312"/>
          <w:sz w:val="32"/>
          <w:szCs w:val="32"/>
        </w:rPr>
      </w:pPr>
      <w:r>
        <w:rPr>
          <w:rFonts w:hint="eastAsia" w:eastAsia="仿宋_GB2312"/>
          <w:sz w:val="32"/>
          <w:szCs w:val="32"/>
          <w:lang w:val="en-US" w:eastAsia="zh-CN"/>
        </w:rPr>
        <w:t>芦淞区董家塅街道办事处</w:t>
      </w:r>
    </w:p>
    <w:p>
      <w:pPr>
        <w:jc w:val="center"/>
        <w:rPr>
          <w:rFonts w:eastAsia="仿宋_GB2312"/>
          <w:sz w:val="32"/>
          <w:szCs w:val="32"/>
        </w:rPr>
      </w:pPr>
      <w:r>
        <w:rPr>
          <w:rFonts w:eastAsia="仿宋_GB2312"/>
          <w:sz w:val="32"/>
          <w:szCs w:val="32"/>
        </w:rPr>
        <w:t>（此页为封面）</w:t>
      </w: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（一）部门（单位）基本情况</w:t>
      </w:r>
    </w:p>
    <w:p>
      <w:pPr>
        <w:pStyle w:val="7"/>
        <w:numPr>
          <w:ilvl w:val="0"/>
          <w:numId w:val="1"/>
        </w:numPr>
        <w:spacing w:line="600" w:lineRule="exact"/>
        <w:ind w:firstLine="64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机构情况。我单位内</w:t>
      </w:r>
      <w:r>
        <w:rPr>
          <w:rFonts w:hint="eastAsia" w:ascii="Times New Roman" w:hAnsi="Times New Roman" w:eastAsia="仿宋_GB2312" w:cs="Times New Roman"/>
          <w:kern w:val="2"/>
          <w:sz w:val="32"/>
          <w:szCs w:val="32"/>
          <w:lang w:val="zh-CN" w:eastAsia="zh-CN" w:bidi="ar-SA"/>
        </w:rPr>
        <w:t>设机构包括：党政办公室、党建办公室、城市管理办公室（农业农村工作办公室）、公共服务办公室、公共安全办公室、生态环境办公室。</w:t>
      </w:r>
    </w:p>
    <w:p>
      <w:pPr>
        <w:pStyle w:val="7"/>
        <w:numPr>
          <w:ilvl w:val="0"/>
          <w:numId w:val="1"/>
        </w:numPr>
        <w:spacing w:line="600" w:lineRule="exact"/>
        <w:ind w:firstLine="64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人员情况。2022年本单位年未实有人数79人（其中：</w:t>
      </w:r>
      <w:r>
        <w:rPr>
          <w:rFonts w:hint="eastAsia" w:ascii="Times New Roman" w:hAnsi="Times New Roman" w:eastAsia="仿宋_GB2312" w:cs="Times New Roman"/>
          <w:kern w:val="2"/>
          <w:sz w:val="32"/>
          <w:szCs w:val="32"/>
          <w:lang w:val="zh-CN" w:eastAsia="zh-CN" w:bidi="ar-SA"/>
        </w:rPr>
        <w:t>行政编制2</w:t>
      </w: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zh-CN" w:eastAsia="zh-CN" w:bidi="ar-SA"/>
        </w:rPr>
        <w:t>人，事业编制</w:t>
      </w:r>
      <w:r>
        <w:rPr>
          <w:rFonts w:hint="eastAsia" w:ascii="Times New Roman" w:hAnsi="Times New Roman" w:eastAsia="仿宋_GB2312" w:cs="Times New Roman"/>
          <w:kern w:val="2"/>
          <w:sz w:val="32"/>
          <w:szCs w:val="32"/>
          <w:lang w:val="en-US" w:eastAsia="zh-CN" w:bidi="ar-SA"/>
        </w:rPr>
        <w:t>23</w:t>
      </w:r>
      <w:r>
        <w:rPr>
          <w:rFonts w:hint="eastAsia" w:ascii="Times New Roman" w:hAnsi="Times New Roman" w:eastAsia="仿宋_GB2312" w:cs="Times New Roman"/>
          <w:kern w:val="2"/>
          <w:sz w:val="32"/>
          <w:szCs w:val="32"/>
          <w:lang w:val="zh-CN" w:eastAsia="zh-CN" w:bidi="ar-SA"/>
        </w:rPr>
        <w:t>人，退休人员</w:t>
      </w:r>
      <w:r>
        <w:rPr>
          <w:rFonts w:hint="eastAsia" w:ascii="Times New Roman" w:hAnsi="Times New Roman" w:eastAsia="仿宋_GB2312" w:cs="Times New Roman"/>
          <w:kern w:val="2"/>
          <w:sz w:val="32"/>
          <w:szCs w:val="32"/>
          <w:lang w:val="en-US" w:eastAsia="zh-CN" w:bidi="ar-SA"/>
        </w:rPr>
        <w:t>31</w:t>
      </w:r>
      <w:r>
        <w:rPr>
          <w:rFonts w:hint="eastAsia" w:ascii="Times New Roman" w:hAnsi="Times New Roman" w:eastAsia="仿宋_GB2312" w:cs="Times New Roman"/>
          <w:kern w:val="2"/>
          <w:sz w:val="32"/>
          <w:szCs w:val="32"/>
          <w:lang w:val="zh-CN" w:eastAsia="zh-CN" w:bidi="ar-SA"/>
        </w:rPr>
        <w:t>人。）</w:t>
      </w:r>
    </w:p>
    <w:p>
      <w:pPr>
        <w:numPr>
          <w:ilvl w:val="0"/>
          <w:numId w:val="2"/>
        </w:numPr>
        <w:spacing w:line="600" w:lineRule="exact"/>
        <w:ind w:firstLine="643" w:firstLineChars="200"/>
        <w:rPr>
          <w:rFonts w:eastAsia="楷体_GB2312"/>
          <w:b/>
          <w:sz w:val="32"/>
          <w:szCs w:val="32"/>
        </w:rPr>
      </w:pPr>
      <w:r>
        <w:rPr>
          <w:rFonts w:eastAsia="楷体_GB2312"/>
          <w:b/>
          <w:sz w:val="32"/>
          <w:szCs w:val="32"/>
        </w:rPr>
        <w:t>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pPr>
        <w:pStyle w:val="7"/>
        <w:numPr>
          <w:ilvl w:val="0"/>
          <w:numId w:val="3"/>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推进基层党建，实施素质提升工程；</w:t>
      </w:r>
    </w:p>
    <w:p>
      <w:pPr>
        <w:pStyle w:val="7"/>
        <w:numPr>
          <w:ilvl w:val="0"/>
          <w:numId w:val="3"/>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做好综治维稳，确保进京零非访；</w:t>
      </w:r>
    </w:p>
    <w:p>
      <w:pPr>
        <w:pStyle w:val="7"/>
        <w:numPr>
          <w:ilvl w:val="0"/>
          <w:numId w:val="3"/>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实现城市精细化管理，提高环境卫生整体质量；</w:t>
      </w:r>
    </w:p>
    <w:p>
      <w:pPr>
        <w:pStyle w:val="7"/>
        <w:numPr>
          <w:ilvl w:val="0"/>
          <w:numId w:val="3"/>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着力抓民政救助工作，做到救助对象动态管理，应退尽退、应保尽保；</w:t>
      </w:r>
    </w:p>
    <w:p>
      <w:pPr>
        <w:pStyle w:val="7"/>
        <w:numPr>
          <w:ilvl w:val="0"/>
          <w:numId w:val="3"/>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保民生，促就业。</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7"/>
        <w:spacing w:line="600" w:lineRule="exact"/>
        <w:ind w:firstLine="643"/>
        <w:rPr>
          <w:rFonts w:hint="default" w:eastAsia="仿宋"/>
          <w:color w:val="000000"/>
          <w:sz w:val="32"/>
          <w:szCs w:val="32"/>
          <w:lang w:val="en-US" w:eastAsia="zh-CN"/>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2022</w:t>
      </w:r>
      <w:r>
        <w:rPr>
          <w:rFonts w:eastAsia="仿宋"/>
          <w:color w:val="000000"/>
          <w:sz w:val="32"/>
          <w:szCs w:val="32"/>
        </w:rPr>
        <w:t>年</w:t>
      </w:r>
      <w:r>
        <w:rPr>
          <w:rFonts w:hint="eastAsia" w:eastAsia="仿宋"/>
          <w:color w:val="000000"/>
          <w:sz w:val="32"/>
          <w:szCs w:val="32"/>
          <w:lang w:val="en-US" w:eastAsia="zh-CN"/>
        </w:rPr>
        <w:t>度年初</w:t>
      </w:r>
      <w:r>
        <w:rPr>
          <w:rFonts w:eastAsia="仿宋"/>
          <w:color w:val="000000"/>
          <w:sz w:val="32"/>
          <w:szCs w:val="32"/>
        </w:rPr>
        <w:t>预算资金</w:t>
      </w:r>
      <w:r>
        <w:rPr>
          <w:rFonts w:hint="eastAsia" w:eastAsia="仿宋"/>
          <w:color w:val="000000"/>
          <w:sz w:val="32"/>
          <w:szCs w:val="32"/>
          <w:lang w:val="en-US" w:eastAsia="zh-CN"/>
        </w:rPr>
        <w:t>824.88万元。</w:t>
      </w:r>
    </w:p>
    <w:p>
      <w:pPr>
        <w:pStyle w:val="7"/>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2、2022年度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1625.04万元。</w:t>
      </w:r>
    </w:p>
    <w:p>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eastAsia="zh-CN"/>
        </w:rPr>
        <w:t>、</w:t>
      </w:r>
      <w:r>
        <w:rPr>
          <w:rFonts w:hint="eastAsia" w:eastAsia="仿宋"/>
          <w:color w:val="auto"/>
          <w:sz w:val="32"/>
          <w:szCs w:val="32"/>
          <w:lang w:val="en-US" w:eastAsia="zh-CN"/>
        </w:rPr>
        <w:t>2022年度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1625.04万元</w:t>
      </w:r>
      <w:r>
        <w:rPr>
          <w:rFonts w:hint="eastAsia" w:eastAsia="仿宋"/>
          <w:color w:val="auto"/>
          <w:sz w:val="32"/>
          <w:szCs w:val="32"/>
          <w:lang w:eastAsia="zh-CN"/>
        </w:rPr>
        <w:t>。</w:t>
      </w:r>
      <w:r>
        <w:rPr>
          <w:rFonts w:eastAsia="仿宋"/>
          <w:color w:val="auto"/>
          <w:sz w:val="32"/>
          <w:szCs w:val="32"/>
        </w:rPr>
        <w:t>其中：项目支出</w:t>
      </w:r>
      <w:r>
        <w:rPr>
          <w:rFonts w:hint="eastAsia" w:eastAsia="仿宋"/>
          <w:color w:val="auto"/>
          <w:sz w:val="32"/>
          <w:szCs w:val="32"/>
          <w:lang w:val="en-US" w:eastAsia="zh-CN"/>
        </w:rPr>
        <w:t>816.92</w:t>
      </w:r>
      <w:r>
        <w:rPr>
          <w:rFonts w:eastAsia="仿宋"/>
          <w:color w:val="auto"/>
          <w:sz w:val="32"/>
          <w:szCs w:val="32"/>
        </w:rPr>
        <w:t>万元，基本支出</w:t>
      </w:r>
      <w:r>
        <w:rPr>
          <w:rFonts w:hint="eastAsia" w:eastAsia="仿宋"/>
          <w:color w:val="auto"/>
          <w:sz w:val="32"/>
          <w:szCs w:val="32"/>
          <w:lang w:val="en-US" w:eastAsia="zh-CN"/>
        </w:rPr>
        <w:t>808.12</w:t>
      </w:r>
      <w:r>
        <w:rPr>
          <w:rFonts w:eastAsia="仿宋"/>
          <w:color w:val="auto"/>
          <w:sz w:val="32"/>
          <w:szCs w:val="32"/>
        </w:rPr>
        <w:t>万元，其中：人员经费</w:t>
      </w:r>
      <w:r>
        <w:rPr>
          <w:rFonts w:hint="eastAsia" w:eastAsia="仿宋"/>
          <w:color w:val="auto"/>
          <w:sz w:val="32"/>
          <w:szCs w:val="32"/>
          <w:lang w:val="en-US" w:eastAsia="zh-CN"/>
        </w:rPr>
        <w:t>629.46</w:t>
      </w:r>
      <w:r>
        <w:rPr>
          <w:rFonts w:eastAsia="仿宋"/>
          <w:color w:val="auto"/>
          <w:sz w:val="32"/>
          <w:szCs w:val="32"/>
        </w:rPr>
        <w:t>万元，公用经费</w:t>
      </w:r>
      <w:r>
        <w:rPr>
          <w:rFonts w:hint="eastAsia" w:eastAsia="仿宋"/>
          <w:color w:val="auto"/>
          <w:sz w:val="32"/>
          <w:szCs w:val="32"/>
          <w:lang w:val="en-US" w:eastAsia="zh-CN"/>
        </w:rPr>
        <w:t>178.66万</w:t>
      </w:r>
      <w:r>
        <w:rPr>
          <w:rFonts w:eastAsia="仿宋"/>
          <w:color w:val="auto"/>
          <w:sz w:val="32"/>
          <w:szCs w:val="32"/>
        </w:rPr>
        <w:t>元。</w:t>
      </w:r>
      <w:bookmarkStart w:id="0" w:name="_GoBack"/>
      <w:bookmarkEnd w:id="0"/>
    </w:p>
    <w:p>
      <w:pPr>
        <w:pStyle w:val="7"/>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pPr>
        <w:pStyle w:val="7"/>
        <w:numPr>
          <w:ilvl w:val="0"/>
          <w:numId w:val="0"/>
        </w:numPr>
        <w:spacing w:line="600" w:lineRule="exact"/>
        <w:rPr>
          <w:rFonts w:hint="default" w:ascii="Times New Roman" w:hAnsi="Times New Roman" w:eastAsia="楷体_GB2312"/>
          <w:b/>
          <w:sz w:val="32"/>
          <w:szCs w:val="32"/>
          <w:lang w:val="en-US" w:eastAsia="zh-CN"/>
        </w:rPr>
      </w:pPr>
      <w:r>
        <w:rPr>
          <w:rFonts w:hint="eastAsia" w:ascii="Times New Roman" w:hAnsi="Times New Roman" w:eastAsia="楷体_GB2312"/>
          <w:b/>
          <w:sz w:val="32"/>
          <w:szCs w:val="32"/>
          <w:lang w:val="en-US" w:eastAsia="zh-CN"/>
        </w:rPr>
        <w:t xml:space="preserve">  </w:t>
      </w:r>
      <w:r>
        <w:rPr>
          <w:rFonts w:hint="eastAsia" w:ascii="Times New Roman" w:hAnsi="Times New Roman" w:eastAsia="仿宋" w:cs="Times New Roman"/>
          <w:color w:val="auto"/>
          <w:kern w:val="2"/>
          <w:sz w:val="32"/>
          <w:szCs w:val="32"/>
          <w:lang w:val="en-US" w:eastAsia="zh-CN" w:bidi="ar-SA"/>
        </w:rPr>
        <w:t xml:space="preserve">  2022年度一般公共预算拨款项目支出</w:t>
      </w:r>
      <w:r>
        <w:rPr>
          <w:rFonts w:hint="eastAsia" w:eastAsia="仿宋"/>
          <w:color w:val="auto"/>
          <w:sz w:val="32"/>
          <w:szCs w:val="32"/>
          <w:lang w:val="en-US" w:eastAsia="zh-CN"/>
        </w:rPr>
        <w:t>816.92</w:t>
      </w:r>
      <w:r>
        <w:rPr>
          <w:rFonts w:hint="eastAsia" w:ascii="Times New Roman" w:hAnsi="Times New Roman" w:eastAsia="仿宋" w:cs="Times New Roman"/>
          <w:color w:val="auto"/>
          <w:kern w:val="2"/>
          <w:sz w:val="32"/>
          <w:szCs w:val="32"/>
          <w:lang w:val="en-US" w:eastAsia="zh-CN" w:bidi="ar-SA"/>
        </w:rPr>
        <w:t>万元。其中：</w:t>
      </w:r>
    </w:p>
    <w:p>
      <w:pPr>
        <w:pStyle w:val="7"/>
        <w:numPr>
          <w:ilvl w:val="0"/>
          <w:numId w:val="5"/>
        </w:numPr>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社区抗疫支出30.0万元；2、五里墩村生态保护专项资金项目支出50.0万元；3、十个社区网格工作经费项目支出524.06万元；4、四个村生态公益林补偿项目支出23.03万元；5、涉军人员就业援助专项和公益性岗位补贴项目支出120.5万元；6公路改造项目支出 69.33万元。</w:t>
      </w:r>
    </w:p>
    <w:p>
      <w:pPr>
        <w:pStyle w:val="7"/>
        <w:numPr>
          <w:ilvl w:val="0"/>
          <w:numId w:val="6"/>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政府性基金预算支出情况</w:t>
      </w:r>
    </w:p>
    <w:p>
      <w:pPr>
        <w:pStyle w:val="7"/>
        <w:numPr>
          <w:ilvl w:val="0"/>
          <w:numId w:val="0"/>
        </w:numPr>
        <w:spacing w:line="600" w:lineRule="exact"/>
        <w:ind w:firstLine="640" w:firstLineChars="200"/>
        <w:rPr>
          <w:rFonts w:hint="default" w:eastAsia="仿宋" w:cs="Times New Roman"/>
          <w:color w:val="auto"/>
          <w:sz w:val="32"/>
          <w:szCs w:val="32"/>
          <w:lang w:val="en-US" w:eastAsia="zh-CN"/>
        </w:rPr>
      </w:pPr>
      <w:r>
        <w:rPr>
          <w:rFonts w:hint="eastAsia" w:eastAsia="仿宋" w:cs="Times New Roman"/>
          <w:color w:val="auto"/>
          <w:sz w:val="32"/>
          <w:szCs w:val="32"/>
          <w:lang w:val="en-US" w:eastAsia="zh-CN"/>
        </w:rPr>
        <w:t>2022年度政府性基金预算安排支出28.0万元，均为基本支出。</w:t>
      </w:r>
    </w:p>
    <w:p>
      <w:pPr>
        <w:pStyle w:val="7"/>
        <w:numPr>
          <w:ilvl w:val="0"/>
          <w:numId w:val="6"/>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7"/>
        <w:numPr>
          <w:ilvl w:val="0"/>
          <w:numId w:val="0"/>
        </w:numPr>
        <w:spacing w:line="600" w:lineRule="exact"/>
        <w:ind w:firstLine="640" w:firstLineChars="200"/>
        <w:rPr>
          <w:rFonts w:hint="default" w:eastAsia="仿宋" w:cs="Times New Roman"/>
          <w:color w:val="auto"/>
          <w:sz w:val="32"/>
          <w:szCs w:val="32"/>
          <w:lang w:val="en-US" w:eastAsia="zh-CN"/>
        </w:rPr>
      </w:pPr>
      <w:r>
        <w:rPr>
          <w:rFonts w:hint="eastAsia" w:eastAsia="仿宋" w:cs="Times New Roman"/>
          <w:color w:val="auto"/>
          <w:sz w:val="32"/>
          <w:szCs w:val="32"/>
          <w:lang w:val="en-US" w:eastAsia="zh-CN"/>
        </w:rPr>
        <w:t>2022年度国有资本经营预算安排支出15.0万元，均为基本支出。</w:t>
      </w:r>
    </w:p>
    <w:p>
      <w:pPr>
        <w:pStyle w:val="7"/>
        <w:spacing w:line="600" w:lineRule="exact"/>
        <w:ind w:firstLine="640"/>
        <w:rPr>
          <w:rFonts w:hint="default" w:ascii="Times New Roman" w:hAnsi="Times New Roman" w:eastAsia="黑体"/>
          <w:sz w:val="32"/>
          <w:szCs w:val="32"/>
          <w:lang w:val="en-US" w:eastAsia="zh-CN"/>
        </w:rPr>
      </w:pPr>
      <w:r>
        <w:rPr>
          <w:rFonts w:ascii="Times New Roman" w:hAnsi="Times New Roman" w:eastAsia="黑体"/>
          <w:sz w:val="32"/>
          <w:szCs w:val="32"/>
        </w:rPr>
        <w:t>五、社会保险基金预算支出情况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pPr>
        <w:pStyle w:val="4"/>
        <w:keepNext w:val="0"/>
        <w:keepLines w:val="0"/>
        <w:pageBreakBefore w:val="0"/>
        <w:kinsoku/>
        <w:wordWrap/>
        <w:overflowPunct/>
        <w:topLinePunct w:val="0"/>
        <w:autoSpaceDE/>
        <w:autoSpaceDN/>
        <w:bidi w:val="0"/>
        <w:adjustRightInd/>
        <w:snapToGrid/>
        <w:spacing w:line="560" w:lineRule="exact"/>
        <w:ind w:left="0" w:leftChars="0" w:firstLine="321" w:firstLineChars="1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（1）资金使用情况</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1、严格执行“厉行节约、反对浪费”的规定，保障行政和基层各级党组织正常运转和各项工作的顺利开展。</w:t>
      </w:r>
    </w:p>
    <w:p>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根据市、区重点工作安排，加大对项目攻坚，控违拆违，强保障惠民生促发展等方面的资金投入。密切联系、服务群众，妥善处理群众来信来访、化解社会矛盾，完善社区基础设施建设和服务配套设施，积极争创特色街道、社区。</w:t>
      </w:r>
    </w:p>
    <w:p>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pPr>
        <w:pStyle w:val="4"/>
        <w:keepNext w:val="0"/>
        <w:keepLines w:val="0"/>
        <w:pageBreakBefore w:val="0"/>
        <w:kinsoku/>
        <w:wordWrap/>
        <w:overflowPunct/>
        <w:topLinePunct w:val="0"/>
        <w:autoSpaceDE/>
        <w:autoSpaceDN/>
        <w:bidi w:val="0"/>
        <w:adjustRightInd/>
        <w:snapToGrid/>
        <w:spacing w:line="560" w:lineRule="exact"/>
        <w:ind w:left="0" w:leftChars="0" w:firstLine="321" w:firstLineChars="1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（2）绩效情况</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cs="Times New Roman"/>
          <w:b/>
          <w:bCs/>
          <w:kern w:val="2"/>
          <w:sz w:val="32"/>
          <w:szCs w:val="32"/>
          <w:lang w:val="en-US" w:eastAsia="zh-CN" w:bidi="ar-SA"/>
        </w:rPr>
        <w:t>（2.1）</w:t>
      </w:r>
      <w:r>
        <w:rPr>
          <w:rFonts w:hint="eastAsia" w:ascii="Times New Roman" w:hAnsi="Times New Roman" w:eastAsia="仿宋_GB2312" w:cs="Times New Roman"/>
          <w:b/>
          <w:bCs/>
          <w:kern w:val="2"/>
          <w:sz w:val="32"/>
          <w:szCs w:val="32"/>
          <w:lang w:val="en-US" w:eastAsia="zh-CN" w:bidi="ar-SA"/>
        </w:rPr>
        <w:t>强化党建引领，激发基层治理新活力</w:t>
      </w:r>
      <w:r>
        <w:rPr>
          <w:rFonts w:hint="eastAsia"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一是强化理论武装。坚持把抓好党建作为坚定捍卫“两个确立”、坚决做到“两个维护”的具体行动。深入学习贯彻习近平新时代中国特色社会主义思想和习近平总书记对湖南重要讲话重要指示批示精神，共召开32次专题会议研究基层党建、意识形态、全面从严治党等工作。二是强化整建提质。新建6个小区党支部，现已建成四星小区党支部4个、三星小区党支部10个。新建40个非公党组织，覆盖137家企业，覆盖率达97%，新建数、覆盖率居全区前列。积极探索离退休党员管理，创建市级示范离退休党支部（南沿社区第一退休干部党支部），申报市级五星党支部（沿河三村“党建红•航空蓝”小区党支部品牌）。三是强化能力提升。结合“干部能力提升年”活动，开展“两委”成员全覆盖履职培训，提升基层治理能力。集训“两委”成员、党建专干600多人次，选优配强“两委”成员8人。扎实推进“五个到户”工作，组织村（社区）645名党员结对2183户共覆盖4683人。</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eastAsia" w:cs="Times New Roman"/>
          <w:b/>
          <w:bCs/>
          <w:kern w:val="2"/>
          <w:sz w:val="32"/>
          <w:szCs w:val="32"/>
          <w:lang w:val="en-US" w:eastAsia="zh-CN" w:bidi="ar-SA"/>
        </w:rPr>
        <w:t>2.2</w:t>
      </w:r>
      <w:r>
        <w:rPr>
          <w:rFonts w:hint="eastAsia" w:ascii="Times New Roman" w:hAnsi="Times New Roman" w:eastAsia="仿宋_GB2312" w:cs="Times New Roman"/>
          <w:b/>
          <w:bCs/>
          <w:kern w:val="2"/>
          <w:sz w:val="32"/>
          <w:szCs w:val="32"/>
          <w:lang w:val="en-US" w:eastAsia="zh-CN" w:bidi="ar-SA"/>
        </w:rPr>
        <w:t>）坚持“董办速度”，实现产业项目新突破</w:t>
      </w:r>
      <w:r>
        <w:rPr>
          <w:rFonts w:hint="eastAsia"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坚持项目为王，又好又快推进辖区内各征拆项目。一是千亿大道项目。仅用3天时间完成10栋房屋的征收签约和拆除工作。目前因资金问题暂未启动土地补偿签约。二是汉能科技项目。一周之内完成该项目内30余亩稻田收割、45.05亩土地签约、水利设施动工等工作，待迁坟工作完成后可实现交地。三是白关变电站配套新建线塔项目。在资金未完全到位、线路无法调优、历史遗留问题较多的情况下，完成塔杆基交地28处，仅剩2处近期将全面完成。四是南方公司物流通道项目。因该项目无法立项，所占用的农田、水塘、青苗等无法按征收标准补偿，实施难度极大，为按时完成任务，拟采用土地流转模式助推项目顺利动工。</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eastAsia" w:cs="Times New Roman"/>
          <w:b/>
          <w:bCs/>
          <w:kern w:val="2"/>
          <w:sz w:val="32"/>
          <w:szCs w:val="32"/>
          <w:lang w:val="en-US" w:eastAsia="zh-CN" w:bidi="ar-SA"/>
        </w:rPr>
        <w:t>2.3</w:t>
      </w:r>
      <w:r>
        <w:rPr>
          <w:rFonts w:hint="eastAsia" w:ascii="Times New Roman" w:hAnsi="Times New Roman" w:eastAsia="仿宋_GB2312" w:cs="Times New Roman"/>
          <w:b/>
          <w:bCs/>
          <w:kern w:val="2"/>
          <w:sz w:val="32"/>
          <w:szCs w:val="32"/>
          <w:lang w:val="en-US" w:eastAsia="zh-CN" w:bidi="ar-SA"/>
        </w:rPr>
        <w:t>）创建“平安董办”，谱写治理工作新篇章</w:t>
      </w:r>
      <w:r>
        <w:rPr>
          <w:rFonts w:hint="eastAsia"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深刻汲取近期省内外各类安全事故教训，坚决守牢安全生产“红线”。一方面，要坚持社会治理聚“力”。 以二十大安保为契机，聚焦发力，全面梳理辖区内涉及退役、国企改制、征地拆迁等矛盾多发重点领域，对存在重大风险涉稳案件时刻跟进，将风险降到最低。2022年以来，街道成功化解了一批信访积案和重点人员涉访涉诉问题，与左清伟、周丽华、袁辉娥、刘雪梅等信访人员签订了息访息诉承诺书；调处化解矛盾纠纷68起，矛盾化解率达95%，其中涉及拆迁和施工项目的矛盾纠纷16起，涉及辖区国企改制矛盾纠纷14起。结合平安夜巡向群众发放平安创建、社会满意率调查问卷等宣传资料1万余份，悬挂宣传横幅30条，营造良好的氛围。另一方面，要坚持安全生产提“标”。开展安全生产排查工作。结合安全生产风险隐患“大排查大管控大整治”百日行动，共开展安全生产检查932次，专项检查行动50余次，执法处理7起。开展自建房安全专项整治工作暨拆违保安百日攻坚专项行动工作。截至10月12日，已完成160户的房屋鉴定工作，鉴定率达72.5%，鉴定总数和鉴定率均位于全区前列。开展森林防灭火工作。截至目前，街道共开展防火巡林1020次，巡林面积2150.32公里，签订2万余份森林防火承诺书。同时，重点推进森林防灭火宣传工作，张贴禁火令1500余张、横幅500余条，出动巡护宣传车750余次，营造人人重视安全的浓厚氛围。</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eastAsia" w:cs="Times New Roman"/>
          <w:b/>
          <w:bCs/>
          <w:kern w:val="2"/>
          <w:sz w:val="32"/>
          <w:szCs w:val="32"/>
          <w:lang w:val="en-US" w:eastAsia="zh-CN" w:bidi="ar-SA"/>
        </w:rPr>
        <w:t>2.4</w:t>
      </w:r>
      <w:r>
        <w:rPr>
          <w:rFonts w:hint="eastAsia" w:ascii="Times New Roman" w:hAnsi="Times New Roman" w:eastAsia="仿宋_GB2312" w:cs="Times New Roman"/>
          <w:b/>
          <w:bCs/>
          <w:kern w:val="2"/>
          <w:sz w:val="32"/>
          <w:szCs w:val="32"/>
          <w:lang w:val="en-US" w:eastAsia="zh-CN" w:bidi="ar-SA"/>
        </w:rPr>
        <w:t>）紧盯疫情防控，筑牢公共安全新常态</w:t>
      </w:r>
      <w:r>
        <w:rPr>
          <w:rFonts w:hint="eastAsia"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始终紧绷疫情防控这根弦。一是全面加强组织领导。成立疫情防控领导小组，严格落实点长负责制，建立四级包点管理模式，坚持每日调度，合理安排疫情防控各项工作。二是全面加强宣传引导。积极营造疫情防控宣传氛围，发动回乡过节的群众主动到村（社区）申报个人信息，由村（社区）做好登记，及时掌握相关情况，做好后续管控措施。三是全面加强服务保障。当前街道已完成第六轮全员核酸检测工作，全员核酸累计完成采样186871人，申请了1254个场所码。开设多场为企服务核酸检测专场，为南方公司、608所、南方宇航三家央企员工提供核酸检测服务，保障辖区员工健康安全。</w:t>
      </w:r>
    </w:p>
    <w:p>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eastAsia" w:cs="Times New Roman"/>
          <w:b/>
          <w:bCs/>
          <w:kern w:val="2"/>
          <w:sz w:val="32"/>
          <w:szCs w:val="32"/>
          <w:lang w:val="en-US" w:eastAsia="zh-CN" w:bidi="ar-SA"/>
        </w:rPr>
        <w:t>2.5</w:t>
      </w:r>
      <w:r>
        <w:rPr>
          <w:rFonts w:hint="eastAsia" w:ascii="Times New Roman" w:hAnsi="Times New Roman" w:eastAsia="仿宋_GB2312" w:cs="Times New Roman"/>
          <w:b/>
          <w:bCs/>
          <w:kern w:val="2"/>
          <w:sz w:val="32"/>
          <w:szCs w:val="32"/>
          <w:lang w:val="en-US" w:eastAsia="zh-CN" w:bidi="ar-SA"/>
        </w:rPr>
        <w:t>）聚焦“急难愁盼”， 营造民生福祉新气象</w:t>
      </w:r>
      <w:r>
        <w:rPr>
          <w:rFonts w:hint="eastAsia"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聚焦群众“急难盼愁”，补齐民生短板，办好民生事业。一是全力推动小区物业管理有序接力。三季度上报的有关物业管理的预安销号工作，现已顺利圆满完成。在区委区政府的正确指导下，街道成功引进军慧、长恒2家市场化物业公司进驻董家塅片区提供服务，完成13个小区管理模式的确定和物业管理服务协议签订，现公共卫生清扫、垃圾清运和庭院楼道灯均已正常运转。二是全力保障“三供一业”移交平稳过渡。辖区13个片区“三供一业”改造已基本完成，惠及相关业主1.2万余户，辖区老旧小区基础设施、部分道路已完成提质改造；着力推进国有企业社会化职能移交工作，2022年共接收退休人员11702人，其中退休党员3229人，快速理清社会化管理服务思路，建立起国有企业退管党员管理办法（试行），有效保障了移交工作平稳顺利过渡。三是全力推进乡村振兴。加快推进土地流转，盘活村级闲置资产，治理耕地抛荒，朱田铺村现已流转土地50余亩，用于黄豆种植。优化道路建设，争取资金扶持，拟对百井村-五百段道路进行沥青铺设。高质量推进农村改厕，加快推进农村卫生厕所改造步伐，目前已完成今年改造任务的60%。大力实施村庄亮化工程，在四个村安装200余盏太阳能路灯，极大改善了农村居民出行条件。开展乡风文明整治行动，通过强化党风政风引领、基层调解、加强移风易俗宣传和健全村规民约等方式建设文明乡风，取得了良好成效。四是全力开展社会服务工作。截止目前，帮助辖区内居民做失业登记706人，就业登记5387人，就业困难人员认定38人，农村劳动力转移120人，实现零就业家庭动态援助100%。认真做好城乡居保、失业保险、社保卡发放等工作，2022年帮助申请享受城乡居民养老保险缴费补贴约258人，城乡居民养老保险参保3908人。发动各社区、村医保专干开展2023年度城乡居民医疗保险宣传工作，动员参保人员续费以及未参保的人员的新参工作。</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pPr>
        <w:pStyle w:val="4"/>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我单位对专项</w:t>
      </w:r>
      <w:r>
        <w:rPr>
          <w:rFonts w:hint="default" w:ascii="Times New Roman" w:hAnsi="Times New Roman" w:eastAsia="仿宋_GB2312" w:cs="Times New Roman"/>
          <w:kern w:val="2"/>
          <w:sz w:val="32"/>
          <w:szCs w:val="32"/>
          <w:lang w:val="en-US" w:eastAsia="zh-CN" w:bidi="ar-SA"/>
        </w:rPr>
        <w:t>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项目为王，又好又快推进辖区内各征拆项目。一是千亿大道项目。仅用3天时间完成10栋房屋的征收签约和拆除工作。目前因资金问题暂未启动土地补偿签约。二是汉能科技项目。一周之内完成该项目内30余亩稻田收割、45.05亩土地签约、水利设施动工等工作，待迁坟工作完成后可实现交地。三是白关变电站配套新建线塔项目。在资金未完全到位、线路无法调优、历史遗留问题较多的情况下，完成塔杆基交地28处，仅剩2处近期将全面完成。四是南方公司物流通道项目。因该项目无法立项，所占用的农田、水塘、青苗等无法按征收标准补偿，实施难度极大，为按时完成任务，拟采用土地流转模式助推项目顺利动工。</w:t>
      </w:r>
    </w:p>
    <w:p>
      <w:pPr>
        <w:pStyle w:val="4"/>
        <w:rPr>
          <w:rFonts w:hint="eastAsia"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全年完成董家塅</w:t>
      </w:r>
      <w:r>
        <w:rPr>
          <w:rFonts w:hint="eastAsia" w:ascii="Times New Roman" w:hAnsi="Times New Roman" w:eastAsia="仿宋_GB2312" w:cs="Times New Roman"/>
          <w:kern w:val="2"/>
          <w:sz w:val="32"/>
          <w:szCs w:val="32"/>
          <w:lang w:val="en-US" w:eastAsia="zh-CN" w:bidi="ar-SA"/>
        </w:rPr>
        <w:t>农村片区作业面积约32.98万平方米，年清运垃圾量1898吨</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株渌路清扫面积7.93万平方米，河港堤坝面积11.2万平方米，铁路沿线4400平方米</w:t>
      </w:r>
      <w:r>
        <w:rPr>
          <w:rFonts w:hint="eastAsia" w:cs="Times New Roman"/>
          <w:kern w:val="2"/>
          <w:sz w:val="32"/>
          <w:szCs w:val="32"/>
          <w:lang w:val="en-US" w:eastAsia="zh-CN" w:bidi="ar-SA"/>
        </w:rPr>
        <w:t>的保绿保洁，实现城市精细化管理，提高环境卫生整体质量。</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2022</w:t>
      </w:r>
      <w:r>
        <w:rPr>
          <w:rFonts w:hint="eastAsia" w:ascii="Times New Roman" w:hAnsi="Times New Roman" w:eastAsia="仿宋_GB2312" w:cs="Times New Roman"/>
          <w:kern w:val="2"/>
          <w:sz w:val="32"/>
          <w:szCs w:val="32"/>
          <w:lang w:val="en-US" w:eastAsia="zh-CN" w:bidi="ar-SA"/>
        </w:rPr>
        <w:t>年度我单位全体干部职工</w:t>
      </w:r>
      <w:r>
        <w:rPr>
          <w:rFonts w:hint="default" w:ascii="Times New Roman" w:hAnsi="Times New Roman" w:eastAsia="仿宋_GB2312" w:cs="Times New Roman"/>
          <w:kern w:val="2"/>
          <w:sz w:val="32"/>
          <w:szCs w:val="32"/>
          <w:lang w:val="en-US" w:eastAsia="zh-CN" w:bidi="ar-SA"/>
        </w:rPr>
        <w:t>苦干实干</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主动作为，一心一意谋发展，全力以赴抓项目，实现了经济平稳健康发展。坚持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以人民为中心的发展思想</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，着力解决了一批群众关心的热点难点问题，努力让人民群众享有更高水平的物质生活，更高层次的公共服务，更高质量的</w:t>
      </w:r>
      <w:r>
        <w:rPr>
          <w:rFonts w:hint="eastAsia" w:ascii="Times New Roman" w:hAnsi="Times New Roman" w:eastAsia="仿宋_GB2312" w:cs="Times New Roman"/>
          <w:kern w:val="2"/>
          <w:sz w:val="32"/>
          <w:szCs w:val="32"/>
          <w:lang w:val="en-US" w:eastAsia="zh-CN" w:bidi="ar-SA"/>
        </w:rPr>
        <w:t>宜居环境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本次绩效自评评分9</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分。</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pStyle w:val="4"/>
        <w:rPr>
          <w:rFonts w:hint="eastAsia" w:ascii="Times New Roman" w:hAnsi="Times New Roman" w:cs="Times New Roman"/>
          <w:lang w:val="en-US" w:eastAsia="zh-CN"/>
        </w:rPr>
      </w:pPr>
      <w:r>
        <w:rPr>
          <w:rFonts w:hint="eastAsia" w:ascii="Times New Roman" w:hAnsi="Times New Roman" w:cs="Times New Roman"/>
          <w:lang w:val="en-US" w:eastAsia="zh-CN"/>
        </w:rPr>
        <w:t>1、绩效评价工作机制有待进一步完善，由于在平时工作中未加强对绩效监控工作的重视，绩效监控工作容易滞后。</w:t>
      </w:r>
    </w:p>
    <w:p>
      <w:pPr>
        <w:pStyle w:val="4"/>
        <w:rPr>
          <w:rFonts w:hint="eastAsia" w:ascii="Times New Roman" w:hAnsi="Times New Roman" w:cs="Times New Roman"/>
          <w:lang w:val="en-US" w:eastAsia="zh-CN"/>
        </w:rPr>
      </w:pPr>
      <w:r>
        <w:rPr>
          <w:rFonts w:hint="eastAsia" w:ascii="Times New Roman" w:hAnsi="Times New Roman" w:cs="Times New Roman"/>
          <w:lang w:val="en-US" w:eastAsia="zh-CN"/>
        </w:rPr>
        <w:t>2、预算编制工作有待细化。预算编制不够明确和细化，预算编制的合理性需要提高。预算执行力度还要进一步加强。</w:t>
      </w:r>
    </w:p>
    <w:p>
      <w:pPr>
        <w:spacing w:line="600" w:lineRule="exact"/>
        <w:ind w:firstLine="640" w:firstLineChars="200"/>
        <w:rPr>
          <w:rFonts w:eastAsia="黑体"/>
          <w:sz w:val="32"/>
          <w:szCs w:val="32"/>
        </w:rPr>
      </w:pPr>
      <w:r>
        <w:rPr>
          <w:rFonts w:eastAsia="黑体"/>
          <w:sz w:val="32"/>
          <w:szCs w:val="32"/>
        </w:rPr>
        <w:t>八、下一步改进措施</w:t>
      </w:r>
    </w:p>
    <w:p>
      <w:pPr>
        <w:pStyle w:val="4"/>
        <w:rPr>
          <w:rFonts w:hint="eastAsia"/>
        </w:rPr>
      </w:pPr>
      <w:r>
        <w:rPr>
          <w:rFonts w:hint="eastAsia"/>
        </w:rPr>
        <w:t>1</w:t>
      </w:r>
      <w:r>
        <w:rPr>
          <w:rFonts w:hint="eastAsia"/>
          <w:lang w:eastAsia="zh-CN"/>
        </w:rPr>
        <w:t>、</w:t>
      </w:r>
      <w:r>
        <w:rPr>
          <w:rFonts w:hint="eastAsia"/>
        </w:rPr>
        <w:t>加强组织领导， 增强预算编制的准确性，提高对预算编制与执行的认识，让各部门了解绩效工作，为绩效评价工作开展创造好的条件</w:t>
      </w:r>
    </w:p>
    <w:p>
      <w:pPr>
        <w:pStyle w:val="4"/>
      </w:pPr>
      <w:r>
        <w:rPr>
          <w:rFonts w:hint="eastAsia"/>
        </w:rPr>
        <w:t>2</w:t>
      </w:r>
      <w:r>
        <w:rPr>
          <w:rFonts w:hint="eastAsia"/>
          <w:lang w:eastAsia="zh-CN"/>
        </w:rPr>
        <w:t>、</w:t>
      </w:r>
      <w:r>
        <w:rPr>
          <w:rFonts w:hint="eastAsia"/>
        </w:rPr>
        <w:t>建立长效机制，加强绩效自评结果应用，使资金发挥最大效益。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4"/>
        <w:rPr>
          <w:rFonts w:hint="eastAsia" w:ascii="Times New Roman" w:hAnsi="Times New Roman" w:cs="Times New Roman"/>
        </w:rPr>
      </w:pPr>
      <w:r>
        <w:rPr>
          <w:rFonts w:hint="eastAsia" w:ascii="Times New Roman" w:hAnsi="Times New Roman" w:cs="Times New Roman"/>
          <w:lang w:val="en-US" w:eastAsia="zh-CN"/>
        </w:rPr>
        <w:t>我单位</w:t>
      </w:r>
      <w:r>
        <w:rPr>
          <w:rFonts w:hint="eastAsia" w:ascii="Times New Roman" w:hAnsi="Times New Roman" w:cs="Times New Roman"/>
        </w:rPr>
        <w:t>以绩效评价结果为导向，并通过资金使用效率的优化，降低服务成本，真正建立起服务型和效能型政府。</w:t>
      </w:r>
    </w:p>
    <w:p>
      <w:pPr>
        <w:pStyle w:val="4"/>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绩效自评结果按相关规定予以公开。</w:t>
      </w:r>
    </w:p>
    <w:p>
      <w:pPr>
        <w:spacing w:line="600" w:lineRule="exact"/>
        <w:ind w:firstLine="640" w:firstLineChars="200"/>
        <w:rPr>
          <w:rFonts w:hint="default" w:eastAsia="黑体"/>
          <w:sz w:val="32"/>
          <w:szCs w:val="32"/>
          <w:lang w:val="en-US" w:eastAsia="zh-CN"/>
        </w:rPr>
      </w:pPr>
      <w:r>
        <w:rPr>
          <w:rFonts w:hint="eastAsia" w:eastAsia="黑体"/>
          <w:sz w:val="32"/>
          <w:szCs w:val="32"/>
          <w:lang w:eastAsia="zh-CN"/>
        </w:rPr>
        <w:t>十、</w:t>
      </w:r>
      <w:r>
        <w:rPr>
          <w:rFonts w:eastAsia="黑体"/>
          <w:sz w:val="32"/>
          <w:szCs w:val="32"/>
        </w:rPr>
        <w:t>其他需要说明的情况</w:t>
      </w:r>
      <w:r>
        <w:rPr>
          <w:rFonts w:hint="eastAsia" w:eastAsia="黑体"/>
          <w:sz w:val="32"/>
          <w:szCs w:val="32"/>
          <w:lang w:eastAsia="zh-CN"/>
        </w:rPr>
        <w:t>：</w:t>
      </w:r>
      <w:r>
        <w:rPr>
          <w:rFonts w:hint="eastAsia" w:eastAsia="黑体"/>
          <w:sz w:val="32"/>
          <w:szCs w:val="32"/>
          <w:lang w:val="en-US" w:eastAsia="zh-CN"/>
        </w:rPr>
        <w:t>无。</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870C9"/>
    <w:multiLevelType w:val="singleLevel"/>
    <w:tmpl w:val="B3D870C9"/>
    <w:lvl w:ilvl="0" w:tentative="0">
      <w:start w:val="3"/>
      <w:numFmt w:val="chineseCounting"/>
      <w:suff w:val="nothing"/>
      <w:lvlText w:val="%1、"/>
      <w:lvlJc w:val="left"/>
      <w:rPr>
        <w:rFonts w:hint="eastAsia"/>
      </w:rPr>
    </w:lvl>
  </w:abstractNum>
  <w:abstractNum w:abstractNumId="1">
    <w:nsid w:val="F5C287BC"/>
    <w:multiLevelType w:val="singleLevel"/>
    <w:tmpl w:val="F5C287BC"/>
    <w:lvl w:ilvl="0" w:tentative="0">
      <w:start w:val="1"/>
      <w:numFmt w:val="decimal"/>
      <w:suff w:val="nothing"/>
      <w:lvlText w:val="%1、"/>
      <w:lvlJc w:val="left"/>
    </w:lvl>
  </w:abstractNum>
  <w:abstractNum w:abstractNumId="2">
    <w:nsid w:val="29487ED9"/>
    <w:multiLevelType w:val="singleLevel"/>
    <w:tmpl w:val="29487ED9"/>
    <w:lvl w:ilvl="0" w:tentative="0">
      <w:start w:val="1"/>
      <w:numFmt w:val="decimal"/>
      <w:suff w:val="nothing"/>
      <w:lvlText w:val="%1、"/>
      <w:lvlJc w:val="left"/>
    </w:lvl>
  </w:abstractNum>
  <w:abstractNum w:abstractNumId="3">
    <w:nsid w:val="2E39810D"/>
    <w:multiLevelType w:val="singleLevel"/>
    <w:tmpl w:val="2E39810D"/>
    <w:lvl w:ilvl="0" w:tentative="0">
      <w:start w:val="2"/>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abstractNum w:abstractNumId="5">
    <w:nsid w:val="6AD6DF5E"/>
    <w:multiLevelType w:val="singleLevel"/>
    <w:tmpl w:val="6AD6DF5E"/>
    <w:lvl w:ilvl="0" w:tentative="0">
      <w:start w:val="1"/>
      <w:numFmt w:val="decimal"/>
      <w:suff w:val="nothing"/>
      <w:lvlText w:val="%1、"/>
      <w:lvlJc w:val="left"/>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OGY3NTU4OTQzNGFkMzVjZmQ3NGQ5NGEwMzYxZTI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7078E0"/>
    <w:rsid w:val="0BA804E2"/>
    <w:rsid w:val="0BB94E2C"/>
    <w:rsid w:val="0BE27487"/>
    <w:rsid w:val="0C4F7C96"/>
    <w:rsid w:val="0C8E7A46"/>
    <w:rsid w:val="0C966F7F"/>
    <w:rsid w:val="0CCA6CB7"/>
    <w:rsid w:val="0CFF5FF0"/>
    <w:rsid w:val="0D1C42A9"/>
    <w:rsid w:val="0D366EDE"/>
    <w:rsid w:val="0D4B57FA"/>
    <w:rsid w:val="0D60161F"/>
    <w:rsid w:val="0D792E8C"/>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4222ED"/>
    <w:rsid w:val="15A27FE2"/>
    <w:rsid w:val="15EA4293"/>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A6790E"/>
    <w:rsid w:val="1D271A66"/>
    <w:rsid w:val="1DCB47DF"/>
    <w:rsid w:val="1E5F5B0E"/>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74604E"/>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192D9F"/>
    <w:rsid w:val="30343502"/>
    <w:rsid w:val="30470CFF"/>
    <w:rsid w:val="306918BE"/>
    <w:rsid w:val="30A37680"/>
    <w:rsid w:val="310D77FB"/>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C71875"/>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8F50821"/>
    <w:rsid w:val="491722FF"/>
    <w:rsid w:val="491D74A7"/>
    <w:rsid w:val="497C7C2F"/>
    <w:rsid w:val="498307B4"/>
    <w:rsid w:val="49882B9B"/>
    <w:rsid w:val="49AF4809"/>
    <w:rsid w:val="49B324BE"/>
    <w:rsid w:val="49DE41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81016B"/>
    <w:rsid w:val="4EE91176"/>
    <w:rsid w:val="4EF96755"/>
    <w:rsid w:val="4EFF6E71"/>
    <w:rsid w:val="4F7317CB"/>
    <w:rsid w:val="4F7C135A"/>
    <w:rsid w:val="4FC01EDA"/>
    <w:rsid w:val="50281CF3"/>
    <w:rsid w:val="50293D79"/>
    <w:rsid w:val="509154B6"/>
    <w:rsid w:val="50BB4683"/>
    <w:rsid w:val="50EC10F9"/>
    <w:rsid w:val="5177797E"/>
    <w:rsid w:val="52F6075F"/>
    <w:rsid w:val="52FB2192"/>
    <w:rsid w:val="53086FF5"/>
    <w:rsid w:val="534D0228"/>
    <w:rsid w:val="53AB142E"/>
    <w:rsid w:val="54207C51"/>
    <w:rsid w:val="54DA727F"/>
    <w:rsid w:val="54E65F5A"/>
    <w:rsid w:val="557D2E1D"/>
    <w:rsid w:val="55804F6C"/>
    <w:rsid w:val="56073296"/>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44006D"/>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F069C0"/>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5F7ECE"/>
    <w:rsid w:val="6FCF00FB"/>
    <w:rsid w:val="6FE61A56"/>
    <w:rsid w:val="702B4484"/>
    <w:rsid w:val="704C412C"/>
    <w:rsid w:val="70AD1C74"/>
    <w:rsid w:val="711C4732"/>
    <w:rsid w:val="72696BF8"/>
    <w:rsid w:val="734F28D5"/>
    <w:rsid w:val="734F3820"/>
    <w:rsid w:val="73F11B0B"/>
    <w:rsid w:val="7455119F"/>
    <w:rsid w:val="749B7B08"/>
    <w:rsid w:val="74B015AB"/>
    <w:rsid w:val="74BF00CF"/>
    <w:rsid w:val="74CF5344"/>
    <w:rsid w:val="754B0A76"/>
    <w:rsid w:val="75786376"/>
    <w:rsid w:val="75F34010"/>
    <w:rsid w:val="765D45B4"/>
    <w:rsid w:val="76735213"/>
    <w:rsid w:val="772B072A"/>
    <w:rsid w:val="778F1D5A"/>
    <w:rsid w:val="7836349E"/>
    <w:rsid w:val="78A55F95"/>
    <w:rsid w:val="794F5B82"/>
    <w:rsid w:val="79E234DF"/>
    <w:rsid w:val="79E85CDC"/>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4">
    <w:name w:val="Body Text First Indent 2"/>
    <w:basedOn w:val="2"/>
    <w:unhideWhenUsed/>
    <w:qFormat/>
    <w:uiPriority w:val="99"/>
    <w:pPr>
      <w:spacing w:after="0"/>
      <w:ind w:left="0" w:leftChars="0" w:firstLine="420" w:firstLineChars="200"/>
    </w:pPr>
    <w:rPr>
      <w:rFonts w:eastAsia="仿宋_GB2312"/>
      <w:sz w:val="32"/>
      <w:szCs w:val="32"/>
    </w:rPr>
  </w:style>
  <w:style w:type="paragraph" w:styleId="7">
    <w:name w:val="List Paragraph"/>
    <w:basedOn w:val="1"/>
    <w:qFormat/>
    <w:uiPriority w:val="99"/>
    <w:pPr>
      <w:ind w:firstLine="420" w:firstLineChars="200"/>
    </w:pPr>
    <w:rPr>
      <w:rFonts w:ascii="Calibri" w:hAnsi="Calibri" w:eastAsia="宋体" w:cs="Times New Roman"/>
      <w:szCs w:val="22"/>
    </w:rPr>
  </w:style>
  <w:style w:type="paragraph" w:customStyle="1" w:styleId="8">
    <w:name w:val="株洲三级"/>
    <w:basedOn w:val="9"/>
    <w:qFormat/>
    <w:uiPriority w:val="0"/>
    <w:rPr>
      <w:rFonts w:eastAsia="方正仿宋_GBK"/>
      <w:b/>
    </w:rPr>
  </w:style>
  <w:style w:type="paragraph" w:customStyle="1" w:styleId="9">
    <w:name w:val="株洲二级"/>
    <w:basedOn w:val="10"/>
    <w:qFormat/>
    <w:uiPriority w:val="0"/>
    <w:pPr>
      <w:spacing w:line="600" w:lineRule="exact"/>
    </w:pPr>
    <w:rPr>
      <w:rFonts w:eastAsia="方正楷体_GBK"/>
    </w:rPr>
  </w:style>
  <w:style w:type="paragraph" w:customStyle="1" w:styleId="10">
    <w:name w:val="株洲一级"/>
    <w:basedOn w:val="11"/>
    <w:qFormat/>
    <w:uiPriority w:val="0"/>
    <w:pPr>
      <w:spacing w:line="700" w:lineRule="exact"/>
    </w:pPr>
    <w:rPr>
      <w:rFonts w:eastAsia="方正黑体_GBK"/>
    </w:rPr>
  </w:style>
  <w:style w:type="paragraph" w:customStyle="1" w:styleId="11">
    <w:name w:val="株洲正文"/>
    <w:basedOn w:val="12"/>
    <w:qFormat/>
    <w:uiPriority w:val="0"/>
    <w:pPr>
      <w:ind w:firstLine="200" w:firstLineChars="200"/>
      <w:jc w:val="both"/>
    </w:pPr>
    <w:rPr>
      <w:rFonts w:eastAsia="方正仿宋_GBK"/>
    </w:rPr>
  </w:style>
  <w:style w:type="paragraph" w:customStyle="1" w:styleId="12">
    <w:name w:val="科室时间"/>
    <w:basedOn w:val="13"/>
    <w:qFormat/>
    <w:uiPriority w:val="0"/>
    <w:pPr>
      <w:spacing w:line="600" w:lineRule="exact"/>
      <w:jc w:val="center"/>
    </w:pPr>
    <w:rPr>
      <w:rFonts w:ascii="Times New Roman" w:hAnsi="Times New Roman"/>
      <w:sz w:val="32"/>
    </w:rPr>
  </w:style>
  <w:style w:type="paragraph" w:customStyle="1" w:styleId="13">
    <w:name w:val="向...汇报"/>
    <w:basedOn w:val="1"/>
    <w:qFormat/>
    <w:uiPriority w:val="0"/>
    <w:pPr>
      <w:spacing w:line="700" w:lineRule="exact"/>
      <w:jc w:val="left"/>
    </w:pPr>
    <w:rPr>
      <w:rFonts w:eastAsia="方正楷体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4340</Words>
  <Characters>4587</Characters>
  <Lines>0</Lines>
  <Paragraphs>0</Paragraphs>
  <TotalTime>25</TotalTime>
  <ScaleCrop>false</ScaleCrop>
  <LinksUpToDate>false</LinksUpToDate>
  <CharactersWithSpaces>4595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轩轩</cp:lastModifiedBy>
  <dcterms:modified xsi:type="dcterms:W3CDTF">2023-10-17T03:53:59Z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46B1E17AE7754E13BA78DBD53DD7830E</vt:lpwstr>
  </property>
</Properties>
</file>