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2022</w:t>
      </w:r>
      <w:r>
        <w:rPr>
          <w:rFonts w:eastAsia="方正小标宋_GBK"/>
          <w:sz w:val="48"/>
          <w:szCs w:val="48"/>
        </w:rPr>
        <w:t>年度</w:t>
      </w:r>
      <w:r>
        <w:rPr>
          <w:rFonts w:hint="eastAsia" w:eastAsia="方正小标宋_GBK"/>
          <w:sz w:val="48"/>
          <w:szCs w:val="48"/>
        </w:rPr>
        <w:t>株洲市芦淞区科学技术协会</w:t>
      </w:r>
    </w:p>
    <w:p>
      <w:pPr>
        <w:jc w:val="center"/>
        <w:rPr>
          <w:rFonts w:eastAsia="方正小标宋_GBK"/>
          <w:sz w:val="48"/>
          <w:szCs w:val="48"/>
        </w:rPr>
      </w:pPr>
      <w:r>
        <w:rPr>
          <w:rFonts w:hint="eastAsia" w:eastAsia="方正小标宋_GBK"/>
          <w:sz w:val="48"/>
          <w:szCs w:val="48"/>
        </w:rPr>
        <w:t>整体</w:t>
      </w:r>
      <w:r>
        <w:rPr>
          <w:rFonts w:eastAsia="方正小标宋_GBK"/>
          <w:sz w:val="48"/>
          <w:szCs w:val="48"/>
        </w:rPr>
        <w:t>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仿宋_GB2312"/>
          <w:sz w:val="32"/>
          <w:szCs w:val="32"/>
        </w:rPr>
      </w:pPr>
      <w:r>
        <w:rPr>
          <w:rFonts w:eastAsia="仿宋_GB2312"/>
          <w:sz w:val="32"/>
          <w:szCs w:val="32"/>
        </w:rPr>
        <w:t>（此页为封面）</w:t>
      </w: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区科协</w:t>
      </w:r>
      <w:r>
        <w:rPr>
          <w:rFonts w:eastAsia="楷体_GB2312"/>
          <w:b/>
          <w:sz w:val="32"/>
          <w:szCs w:val="32"/>
        </w:rPr>
        <w:t>基本情况</w:t>
      </w:r>
    </w:p>
    <w:p>
      <w:pPr>
        <w:spacing w:line="600" w:lineRule="exact"/>
        <w:ind w:firstLine="643" w:firstLineChars="200"/>
        <w:rPr>
          <w:rFonts w:eastAsia="仿宋_GB2312"/>
          <w:b/>
          <w:bCs/>
          <w:kern w:val="0"/>
          <w:sz w:val="32"/>
          <w:szCs w:val="32"/>
        </w:rPr>
      </w:pPr>
      <w:r>
        <w:rPr>
          <w:rFonts w:eastAsia="仿宋_GB2312"/>
          <w:b/>
          <w:bCs/>
          <w:kern w:val="0"/>
          <w:sz w:val="32"/>
          <w:szCs w:val="32"/>
        </w:rPr>
        <w:t>1、主要职能</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（1）贯彻、落实中央、省、市、区关于科普工作的方针、政策，制定全区科普工作规划和年度科普工作计划。</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（2）组织全区科技人员开展学术交流，活跃学术思想，促进科技事业发展。</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（3）普及科学知识，捍卫科学尊严，传播科学思想和方法，推广先进技术。</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（4）开展青少年科技教育活动，提高全民科学素质。</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（5）反映科学技术工作者的意见和诉求，维护科学技术工作者的合法权益。</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（6）开展民间科学技术交流活动，发展异地科学技术团体和科技工作者的友好往来。</w:t>
      </w:r>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（7）指导、协调下属协会开展各项科技活动。</w:t>
      </w:r>
    </w:p>
    <w:p>
      <w:pPr>
        <w:spacing w:line="600" w:lineRule="exact"/>
        <w:ind w:firstLine="480" w:firstLineChars="150"/>
        <w:rPr>
          <w:rFonts w:ascii="仿宋_GB2312" w:hAnsi="仿宋" w:eastAsia="仿宋_GB2312"/>
          <w:sz w:val="32"/>
          <w:szCs w:val="32"/>
        </w:rPr>
      </w:pPr>
      <w:r>
        <w:rPr>
          <w:rFonts w:hint="eastAsia" w:ascii="仿宋_GB2312" w:hAnsi="仿宋" w:eastAsia="仿宋_GB2312"/>
          <w:sz w:val="32"/>
          <w:szCs w:val="32"/>
        </w:rPr>
        <w:t>（8）完成区委、区政府交办的其他任务。</w:t>
      </w:r>
    </w:p>
    <w:p>
      <w:pPr>
        <w:spacing w:line="560" w:lineRule="exact"/>
        <w:ind w:firstLine="643" w:firstLineChars="200"/>
        <w:rPr>
          <w:rFonts w:eastAsia="仿宋_GB2312"/>
          <w:b/>
          <w:bCs/>
          <w:kern w:val="0"/>
          <w:sz w:val="32"/>
          <w:szCs w:val="32"/>
        </w:rPr>
      </w:pPr>
      <w:r>
        <w:rPr>
          <w:rFonts w:eastAsia="仿宋_GB2312"/>
          <w:b/>
          <w:bCs/>
          <w:kern w:val="0"/>
          <w:sz w:val="32"/>
          <w:szCs w:val="32"/>
        </w:rPr>
        <w:t>2、机构设置</w:t>
      </w:r>
    </w:p>
    <w:p>
      <w:pPr>
        <w:spacing w:line="600" w:lineRule="exact"/>
        <w:ind w:firstLine="480" w:firstLineChars="150"/>
        <w:rPr>
          <w:rFonts w:eastAsia="楷体_GB2312"/>
          <w:b/>
          <w:sz w:val="32"/>
          <w:szCs w:val="32"/>
        </w:rPr>
      </w:pPr>
      <w:r>
        <w:rPr>
          <w:rFonts w:eastAsia="仿宋_GB2312"/>
          <w:sz w:val="32"/>
          <w:szCs w:val="32"/>
        </w:rPr>
        <w:t>芦淞区科学技术协会（以下简称区科协）是群团组织，为正科级。</w:t>
      </w:r>
    </w:p>
    <w:p>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区科协</w:t>
      </w:r>
      <w:r>
        <w:rPr>
          <w:rFonts w:eastAsia="楷体_GB2312"/>
          <w:b/>
          <w:sz w:val="32"/>
          <w:szCs w:val="32"/>
        </w:rPr>
        <w:t>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spacing w:line="560" w:lineRule="exact"/>
        <w:ind w:firstLine="643" w:firstLineChars="200"/>
        <w:rPr>
          <w:rFonts w:eastAsia="仿宋_GB2312"/>
          <w:b/>
          <w:bCs/>
          <w:kern w:val="0"/>
          <w:sz w:val="32"/>
          <w:szCs w:val="32"/>
        </w:rPr>
      </w:pPr>
      <w:r>
        <w:rPr>
          <w:rFonts w:eastAsia="仿宋_GB2312"/>
          <w:b/>
          <w:bCs/>
          <w:kern w:val="0"/>
          <w:sz w:val="32"/>
          <w:szCs w:val="32"/>
        </w:rPr>
        <w:t>1、年度整体支出绩效目标</w:t>
      </w:r>
    </w:p>
    <w:p>
      <w:pPr>
        <w:spacing w:line="560" w:lineRule="exact"/>
        <w:ind w:firstLine="640" w:firstLineChars="200"/>
        <w:rPr>
          <w:rFonts w:eastAsia="仿宋_GB2312"/>
          <w:sz w:val="32"/>
          <w:szCs w:val="32"/>
        </w:rPr>
      </w:pPr>
      <w:r>
        <w:rPr>
          <w:rFonts w:eastAsia="仿宋_GB2312"/>
          <w:sz w:val="32"/>
          <w:szCs w:val="32"/>
        </w:rPr>
        <w:t>目标1：引导基层群众和全社会参加科学经济建设发展，营造大众创业、万众创新的浓厚氛围。</w:t>
      </w:r>
    </w:p>
    <w:p>
      <w:pPr>
        <w:spacing w:line="560" w:lineRule="exact"/>
        <w:ind w:firstLine="640" w:firstLineChars="200"/>
        <w:rPr>
          <w:rFonts w:eastAsia="仿宋_GB2312"/>
          <w:sz w:val="32"/>
          <w:szCs w:val="32"/>
        </w:rPr>
      </w:pPr>
      <w:r>
        <w:rPr>
          <w:rFonts w:eastAsia="仿宋_GB2312"/>
          <w:sz w:val="32"/>
          <w:szCs w:val="32"/>
        </w:rPr>
        <w:t>目标2：积极开展农村实用技术培训，促进科普基地建设发展。</w:t>
      </w:r>
    </w:p>
    <w:p>
      <w:pPr>
        <w:spacing w:line="560" w:lineRule="exact"/>
        <w:ind w:firstLine="640" w:firstLineChars="200"/>
        <w:rPr>
          <w:rFonts w:eastAsia="仿宋_GB2312"/>
          <w:sz w:val="32"/>
          <w:szCs w:val="32"/>
        </w:rPr>
      </w:pPr>
      <w:r>
        <w:rPr>
          <w:rFonts w:eastAsia="仿宋_GB2312"/>
          <w:sz w:val="32"/>
          <w:szCs w:val="32"/>
        </w:rPr>
        <w:t xml:space="preserve">目标3：组织开展“全国科普日”、“科技活动周”系列活动。    </w:t>
      </w:r>
    </w:p>
    <w:p>
      <w:pPr>
        <w:spacing w:line="560" w:lineRule="exact"/>
        <w:ind w:firstLine="640" w:firstLineChars="200"/>
        <w:rPr>
          <w:rFonts w:eastAsia="仿宋_GB2312"/>
          <w:sz w:val="32"/>
          <w:szCs w:val="32"/>
        </w:rPr>
      </w:pPr>
      <w:r>
        <w:rPr>
          <w:rFonts w:eastAsia="仿宋_GB2312"/>
          <w:sz w:val="32"/>
          <w:szCs w:val="32"/>
        </w:rPr>
        <w:t>目标4：按时足额发放干部职工工资、津贴、缴纳政策</w:t>
      </w:r>
    </w:p>
    <w:p>
      <w:pPr>
        <w:spacing w:line="600" w:lineRule="exact"/>
        <w:rPr>
          <w:rFonts w:eastAsia="仿宋_GB2312"/>
          <w:sz w:val="32"/>
          <w:szCs w:val="32"/>
        </w:rPr>
      </w:pPr>
      <w:r>
        <w:rPr>
          <w:rFonts w:eastAsia="仿宋_GB2312"/>
          <w:sz w:val="32"/>
          <w:szCs w:val="32"/>
        </w:rPr>
        <w:t>性社会保障资金。</w:t>
      </w:r>
    </w:p>
    <w:p>
      <w:pPr>
        <w:spacing w:line="560" w:lineRule="exact"/>
        <w:ind w:firstLine="643" w:firstLineChars="200"/>
        <w:rPr>
          <w:rFonts w:eastAsia="楷体_GB2312"/>
          <w:b/>
          <w:sz w:val="32"/>
          <w:szCs w:val="32"/>
        </w:rPr>
      </w:pPr>
      <w:r>
        <w:rPr>
          <w:rFonts w:eastAsia="楷体_GB2312"/>
          <w:b/>
          <w:sz w:val="32"/>
          <w:szCs w:val="32"/>
        </w:rPr>
        <w:t>2、其他项目支出（除省级专项资金以外）绩效目标</w:t>
      </w:r>
    </w:p>
    <w:p>
      <w:pPr>
        <w:spacing w:line="600" w:lineRule="exact"/>
        <w:ind w:firstLine="640" w:firstLineChars="200"/>
        <w:rPr>
          <w:rFonts w:eastAsia="楷体_GB2312"/>
          <w:b/>
          <w:sz w:val="32"/>
          <w:szCs w:val="32"/>
        </w:rPr>
      </w:pPr>
      <w:r>
        <w:rPr>
          <w:rFonts w:eastAsia="仿宋_GB2312"/>
          <w:sz w:val="32"/>
          <w:szCs w:val="32"/>
        </w:rPr>
        <w:t>科普经费：一是开展科普惠农兴村计划，提供农民就业机会，带动周边人员就业；二是开展社区科普益民计划活动，提高社区居民科普意识，丰富社区居民科学知识；宣传受众1万余人；三是联合相关系统开展科普科技系列活动2次，提高全民科学素质；四是开展全国科普日、老年科协科技活动、科技工作者慰问等活动；五是使服务对象满意度达到85%以上。</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6"/>
        <w:spacing w:line="600" w:lineRule="exact"/>
        <w:ind w:firstLine="643"/>
        <w:rPr>
          <w:rFonts w:eastAsia="仿宋"/>
          <w:color w:val="000000"/>
          <w:sz w:val="32"/>
          <w:szCs w:val="32"/>
        </w:rPr>
      </w:pPr>
      <w:r>
        <w:rPr>
          <w:rFonts w:hint="eastAsia" w:ascii="Times New Roman" w:hAnsi="Times New Roman" w:eastAsia="楷体_GB2312"/>
          <w:b/>
          <w:sz w:val="32"/>
          <w:szCs w:val="32"/>
        </w:rPr>
        <w:t>1、</w:t>
      </w:r>
      <w:r>
        <w:rPr>
          <w:rFonts w:eastAsia="仿宋"/>
          <w:color w:val="000000"/>
          <w:sz w:val="32"/>
          <w:szCs w:val="32"/>
        </w:rPr>
        <w:t>202</w:t>
      </w:r>
      <w:r>
        <w:rPr>
          <w:rFonts w:hint="eastAsia" w:eastAsia="仿宋"/>
          <w:color w:val="000000"/>
          <w:sz w:val="32"/>
          <w:szCs w:val="32"/>
        </w:rPr>
        <w:t>2</w:t>
      </w:r>
      <w:r>
        <w:rPr>
          <w:rFonts w:eastAsia="仿宋"/>
          <w:color w:val="000000"/>
          <w:sz w:val="32"/>
          <w:szCs w:val="32"/>
        </w:rPr>
        <w:t>年预算资金78.81</w:t>
      </w:r>
      <w:r>
        <w:rPr>
          <w:rFonts w:hint="eastAsia" w:eastAsia="仿宋"/>
          <w:color w:val="000000"/>
          <w:sz w:val="32"/>
          <w:szCs w:val="32"/>
        </w:rPr>
        <w:t>万元。</w:t>
      </w:r>
    </w:p>
    <w:p>
      <w:pPr>
        <w:pStyle w:val="6"/>
        <w:spacing w:line="600" w:lineRule="exact"/>
        <w:ind w:firstLine="640"/>
        <w:rPr>
          <w:rFonts w:eastAsia="仿宋"/>
          <w:sz w:val="32"/>
          <w:szCs w:val="32"/>
        </w:rPr>
      </w:pPr>
      <w:r>
        <w:rPr>
          <w:rFonts w:hint="eastAsia" w:eastAsia="仿宋"/>
          <w:sz w:val="32"/>
          <w:szCs w:val="32"/>
        </w:rPr>
        <w:t>2、2022年度</w:t>
      </w:r>
      <w:r>
        <w:rPr>
          <w:rFonts w:eastAsia="仿宋"/>
          <w:sz w:val="32"/>
          <w:szCs w:val="32"/>
        </w:rPr>
        <w:t>单位</w:t>
      </w:r>
      <w:r>
        <w:rPr>
          <w:rFonts w:hint="eastAsia" w:eastAsia="仿宋"/>
          <w:sz w:val="32"/>
          <w:szCs w:val="32"/>
        </w:rPr>
        <w:t>一般公共预算财政拨款</w:t>
      </w:r>
      <w:r>
        <w:rPr>
          <w:rFonts w:eastAsia="仿宋"/>
          <w:sz w:val="32"/>
          <w:szCs w:val="32"/>
        </w:rPr>
        <w:t>收入81.15</w:t>
      </w:r>
      <w:r>
        <w:rPr>
          <w:rFonts w:hint="eastAsia" w:eastAsia="仿宋"/>
          <w:sz w:val="32"/>
          <w:szCs w:val="32"/>
        </w:rPr>
        <w:t>万元。</w:t>
      </w:r>
    </w:p>
    <w:p>
      <w:pPr>
        <w:spacing w:line="580" w:lineRule="exact"/>
        <w:ind w:firstLine="640" w:firstLineChars="200"/>
        <w:rPr>
          <w:rFonts w:eastAsia="仿宋"/>
          <w:color w:val="0000FF"/>
          <w:sz w:val="32"/>
          <w:szCs w:val="32"/>
        </w:rPr>
      </w:pPr>
      <w:r>
        <w:rPr>
          <w:rFonts w:eastAsia="仿宋"/>
          <w:sz w:val="32"/>
          <w:szCs w:val="32"/>
        </w:rPr>
        <w:t>3</w:t>
      </w:r>
      <w:r>
        <w:rPr>
          <w:rFonts w:hint="eastAsia" w:eastAsia="仿宋"/>
          <w:sz w:val="32"/>
          <w:szCs w:val="32"/>
        </w:rPr>
        <w:t>、2022年度</w:t>
      </w:r>
      <w:r>
        <w:rPr>
          <w:rFonts w:eastAsia="仿宋"/>
          <w:sz w:val="32"/>
          <w:szCs w:val="32"/>
        </w:rPr>
        <w:t>单位</w:t>
      </w:r>
      <w:r>
        <w:rPr>
          <w:rFonts w:hint="eastAsia" w:eastAsia="仿宋"/>
          <w:sz w:val="32"/>
          <w:szCs w:val="32"/>
        </w:rPr>
        <w:t>一般公共预算财政拨款支出</w:t>
      </w:r>
      <w:r>
        <w:rPr>
          <w:rFonts w:eastAsia="仿宋"/>
          <w:sz w:val="32"/>
          <w:szCs w:val="32"/>
        </w:rPr>
        <w:t>81.15</w:t>
      </w:r>
      <w:r>
        <w:rPr>
          <w:rFonts w:hint="eastAsia" w:eastAsia="仿宋"/>
          <w:sz w:val="32"/>
          <w:szCs w:val="32"/>
        </w:rPr>
        <w:t>万元，</w:t>
      </w:r>
      <w:r>
        <w:rPr>
          <w:rFonts w:eastAsia="仿宋"/>
          <w:sz w:val="32"/>
          <w:szCs w:val="32"/>
        </w:rPr>
        <w:t>其中：项目支出22.17万元，基本支出58.98万元，其中：人员经费51.98万元，公用经费</w:t>
      </w:r>
      <w:r>
        <w:rPr>
          <w:rFonts w:hint="eastAsia" w:eastAsia="仿宋"/>
          <w:sz w:val="32"/>
          <w:szCs w:val="32"/>
        </w:rPr>
        <w:t>7.00万</w:t>
      </w:r>
      <w:r>
        <w:rPr>
          <w:rFonts w:eastAsia="仿宋"/>
          <w:sz w:val="32"/>
          <w:szCs w:val="32"/>
        </w:rPr>
        <w:t>元。</w:t>
      </w:r>
    </w:p>
    <w:p>
      <w:pPr>
        <w:pStyle w:val="6"/>
        <w:numPr>
          <w:ilvl w:val="0"/>
          <w:numId w:val="1"/>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6"/>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2022年度项目支出合计</w:t>
      </w:r>
      <w:r>
        <w:rPr>
          <w:rFonts w:eastAsia="仿宋"/>
          <w:sz w:val="32"/>
          <w:szCs w:val="32"/>
        </w:rPr>
        <w:t>22.17</w:t>
      </w:r>
      <w:r>
        <w:rPr>
          <w:rFonts w:hint="eastAsia" w:ascii="Times New Roman" w:hAnsi="Times New Roman" w:eastAsia="仿宋"/>
          <w:sz w:val="32"/>
          <w:szCs w:val="32"/>
        </w:rPr>
        <w:t>万元，1、疫情防控专项项目支出</w:t>
      </w:r>
      <w:r>
        <w:rPr>
          <w:rFonts w:ascii="Times New Roman" w:hAnsi="Times New Roman" w:eastAsia="仿宋"/>
          <w:sz w:val="32"/>
          <w:szCs w:val="32"/>
        </w:rPr>
        <w:t>0.40</w:t>
      </w:r>
      <w:r>
        <w:rPr>
          <w:rFonts w:hint="eastAsia" w:ascii="Times New Roman" w:hAnsi="Times New Roman" w:eastAsia="仿宋"/>
          <w:sz w:val="32"/>
          <w:szCs w:val="32"/>
        </w:rPr>
        <w:t>万元；2、科普经费项目支出18.15万元；3、老年科协项目支出3万元；4、人才发展经费项目支出</w:t>
      </w:r>
      <w:r>
        <w:rPr>
          <w:rFonts w:ascii="Times New Roman" w:hAnsi="Times New Roman" w:eastAsia="仿宋"/>
          <w:sz w:val="32"/>
          <w:szCs w:val="32"/>
        </w:rPr>
        <w:t>0.62</w:t>
      </w:r>
      <w:r>
        <w:rPr>
          <w:rFonts w:hint="eastAsia" w:ascii="Times New Roman" w:hAnsi="Times New Roman" w:eastAsia="仿宋"/>
          <w:sz w:val="32"/>
          <w:szCs w:val="32"/>
        </w:rPr>
        <w:t>万元。</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spacing w:line="600" w:lineRule="exact"/>
        <w:ind w:firstLine="64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无。</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6"/>
        <w:spacing w:line="600" w:lineRule="exact"/>
        <w:ind w:firstLine="64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无。</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6"/>
        <w:spacing w:line="600" w:lineRule="exact"/>
        <w:ind w:firstLine="64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spacing w:line="600" w:lineRule="exact"/>
        <w:ind w:firstLine="643" w:firstLineChars="200"/>
        <w:rPr>
          <w:rFonts w:eastAsia="楷体_GB2312"/>
          <w:b/>
          <w:sz w:val="32"/>
          <w:szCs w:val="32"/>
        </w:rPr>
      </w:pPr>
      <w:r>
        <w:rPr>
          <w:rFonts w:hint="eastAsia" w:eastAsia="楷体_GB2312"/>
          <w:b/>
          <w:sz w:val="32"/>
          <w:szCs w:val="32"/>
        </w:rPr>
        <w:t>(一）部门整体支出绩效情况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在区委、区政府的坚强领导和市科协的精心指导下，芦淞区科协坚持以习近平新时代中国特色社会主义思想为指导，聚焦实施“三高四新”战略，立足“四个服务”工作职责，各项重点工作均取得了较好的工作成效。</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1、扎实开展主题科普宣传活动</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组织开展全国“科技周”、“科普日”活动。围绕活动主题“走进科技 你我同行”，结合芦淞区域和产业优势，全区科普教育基地及各街道深入社区、农村、企业、学校，开展“全国科普日”、“512防灾减灾日”、“全国爱眼日”等宣传活动。</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2、加强青少年科普教育工作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认真组织开展第四十二届芦淞区青少年科技创新大赛活动动。为营造“大众创业，万众创新”良好氛围，培养青少年创新精神和实践能力，推动青少年科技创新工作和科技教育事业深入广泛开展，1月19日联合区教育局在何家坳枫溪学校举办第42届芦淞区青少年科技创新大赛，本次活动共有科技创新成果奖16个，科学幻想画奖80副，科学实践活动奖18项，科学DV奖19个，优秀指导教师17位，优秀科技志愿者7位，优秀组织单位2个。</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利用科普资源助推“双减”活动。支持和鼓励科普教育基地积极为中小学校提供课后科普教育实践服务，增强科学兴趣、创新意识和创新能力。4月22日，第七届“中国航天日”株洲分会场活动，在芦淞区南方第三小学举行，160余名航天科普志愿者和中小学生参加。活动现场，志愿者和学生们观看了中国宇航员的太空课程，并参观了学校航空航天各类模型；5月13日，邀请中国航发湖南动力机械研究所走进南方第三小学，为学生带来了一场生动有趣的航空知识讲座。此次活动通过航空科普讲座，激发青少年崇尚科学、翱翔蓝天的梦想和学习科学知识的热情，为更多的孩子播种下航空梦；5月21日在市二中附二小组织开展“纸折飞机奥运五环靶标”比赛活动，让孩子们在欢乐的活动中感受科学技术的神奇魅力；10月30日，在株洲市农科所科研基地，组织开展青少年功能农业科普活动，参加人数约100人，在宣传农业科普知识、科普文化的同时，启迪了青少年的科学思维和创新意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3、加大科学阵地建设，提升科普服务能力</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成功申报湖南省2022年度国家“基层科普行动计划”项目。为助推乡村振兴，积极开展科普示范乡镇创建和宣传工作，突出“品牌”思维，提炼优质科普资源，9月份成功申报白关镇为湖南科技助力乡村振兴工程科普小镇建设项目，与省科协签订了项目合同书，做好了项目前期准备工作，项目资金50万元，目前项目任务按要求和时间节点稳步推进。</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夯实基层科普服务能力。为提升基层科普服务的覆盖面和实效性，聚焦“三高四新”战略，根据省科协《关于开展2022-2027年度湖南省科普教育基地申报认定工作的通知》要求，区科协积极组织各单位申报全省科普教育基地，经省科协组织专家对申报单位的材料进行评审和打分，10月8日，芦淞通用机场被评为2022-2027年度湖南省科普教育基地。同时，按照《株洲市科普教育基地认定和管理办法》，经过删选，将符合株洲市科普教育基地条件的建宁街道结谷街社区、芦淞通用机场、三三一医院等3个单位的资料申报至市科协。</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基层科普组织积极参与实施“基层科普行动计划”。为创新提升科普工作能力及科普工作的内容、形式和方法，激发全社会创新创业的活力，按照市科协组织实施的株洲市2022年“基层科普行动计划”工作要求。经单位申报、区科协推荐，市科协组织资格初审、实地考察、专家评审、报党组研究和公示，我区的芦淞通用机场和三三一医院入围株洲市2022年“基层科普行动计划”支持项目。</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4、创新工作举措，切实服务科技工作者</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积极申报2022年度株洲市“小荷”行动。根据株洲市科协、株洲市委人才办《关于印发&lt;株洲市“小荷”行动专项实施方案&gt;的通知》（株科协通〔2022〕23号）文件要求，与区委人才办、区科工信局严格审查候选人申报资料，经推荐申报、资格审查、第三方评审、网上公示等程序，湖南山河科技股份有限公司-马云荣、中航动力株洲航空零部件制造有限公司-周博文、湖南株洲欧薇服饰有限公司-吴秀婷等3人成功入围2022年度株洲市“小荷”行动专项扶持对象。</w:t>
      </w:r>
    </w:p>
    <w:p>
      <w:pPr>
        <w:spacing w:line="600" w:lineRule="exact"/>
        <w:ind w:firstLine="640" w:firstLineChars="200"/>
        <w:rPr>
          <w:rFonts w:eastAsia="仿宋_GB2312"/>
          <w:color w:val="000000"/>
          <w:sz w:val="32"/>
          <w:szCs w:val="32"/>
        </w:rPr>
      </w:pPr>
      <w:r>
        <w:rPr>
          <w:rFonts w:hint="eastAsia" w:ascii="仿宋_GB2312" w:hAnsi="仿宋" w:eastAsia="仿宋_GB2312"/>
          <w:sz w:val="32"/>
          <w:szCs w:val="32"/>
        </w:rPr>
        <w:t>开展“5</w:t>
      </w:r>
      <w:r>
        <w:rPr>
          <w:rFonts w:hint="eastAsia" w:ascii="宋体" w:hAnsi="宋体" w:cs="宋体"/>
          <w:sz w:val="32"/>
          <w:szCs w:val="32"/>
        </w:rPr>
        <w:t>•</w:t>
      </w:r>
      <w:r>
        <w:rPr>
          <w:rFonts w:hint="eastAsia" w:ascii="仿宋_GB2312" w:hAnsi="仿宋" w:eastAsia="仿宋_GB2312"/>
          <w:sz w:val="32"/>
          <w:szCs w:val="32"/>
        </w:rPr>
        <w:t>30”科技工作者日宣传活动。为切实履行好团结联系服务科技工作者职能，充分发挥党和政府联系科技工作者的桥梁纽带作用，6月8日，芦淞区召开2022年“创新争先 自立自强”科技工作者日座谈会。会上，对荣获2022年芦淞区最美科技工作者的相关代表进行了表彰，10位获奖代表分别结合各自行业特点和工作实际，围绕如何加强科技人才培养、建立科技创新激励机制、加强科普教育等方面畅所欲言，对发挥党群部门的纽带作用、助力科技工作者成长成才发表了真知灼见。</w:t>
      </w:r>
    </w:p>
    <w:p>
      <w:pPr>
        <w:spacing w:line="600" w:lineRule="exact"/>
        <w:ind w:firstLine="643" w:firstLineChars="200"/>
        <w:rPr>
          <w:rFonts w:eastAsia="楷体_GB2312"/>
          <w:b/>
          <w:sz w:val="32"/>
          <w:szCs w:val="32"/>
        </w:rPr>
      </w:pPr>
      <w:r>
        <w:rPr>
          <w:rFonts w:hint="eastAsia" w:eastAsia="楷体_GB2312"/>
          <w:b/>
          <w:sz w:val="32"/>
          <w:szCs w:val="32"/>
        </w:rPr>
        <w:t>（二）专项资金支出绩效情况</w:t>
      </w:r>
    </w:p>
    <w:p>
      <w:pPr>
        <w:spacing w:line="560" w:lineRule="exact"/>
        <w:ind w:firstLine="640" w:firstLineChars="200"/>
        <w:rPr>
          <w:rFonts w:eastAsia="仿宋_GB2312"/>
          <w:color w:val="000000"/>
          <w:sz w:val="32"/>
          <w:szCs w:val="32"/>
        </w:rPr>
      </w:pPr>
      <w:r>
        <w:rPr>
          <w:rFonts w:eastAsia="仿宋_GB2312"/>
          <w:color w:val="000000"/>
          <w:sz w:val="32"/>
          <w:szCs w:val="32"/>
        </w:rPr>
        <w:t>科普经费专项资金使用绩效情况：</w:t>
      </w:r>
    </w:p>
    <w:p>
      <w:pPr>
        <w:spacing w:line="560" w:lineRule="exact"/>
        <w:ind w:firstLine="640" w:firstLineChars="200"/>
        <w:rPr>
          <w:rFonts w:eastAsia="仿宋"/>
          <w:sz w:val="32"/>
          <w:szCs w:val="32"/>
        </w:rPr>
      </w:pPr>
      <w:r>
        <w:rPr>
          <w:rFonts w:eastAsia="仿宋"/>
          <w:sz w:val="32"/>
          <w:szCs w:val="32"/>
        </w:rPr>
        <w:t>1、资金使用：专项资金使用严格按项目资金申报计划及批复的预算执行。财务室负责跟踪、监控专项资金的全程使用，定期进行资金使用的汇总、分析。项目终了后及时按规定办理财务结算，保证专项资金的使用安全、完整。</w:t>
      </w:r>
      <w:r>
        <w:rPr>
          <w:sz w:val="32"/>
          <w:szCs w:val="32"/>
        </w:rPr>
        <w:t> </w:t>
      </w:r>
    </w:p>
    <w:p>
      <w:pPr>
        <w:spacing w:line="560" w:lineRule="exact"/>
        <w:ind w:firstLine="640" w:firstLineChars="200"/>
        <w:rPr>
          <w:rFonts w:eastAsia="仿宋"/>
          <w:sz w:val="32"/>
          <w:szCs w:val="32"/>
        </w:rPr>
      </w:pPr>
      <w:r>
        <w:rPr>
          <w:rFonts w:eastAsia="仿宋"/>
          <w:sz w:val="32"/>
          <w:szCs w:val="32"/>
        </w:rPr>
        <w:t>2、监督：专项资金的使用与管理部门均为专项资金的监督部门，有权对专项资金的审批与使用进行监督。监察、财务部门定期、不定期对专项资金的使用情况进行抽查审计或全面审计，并根据审计的具体实际情况向单位领导报告。对审计中发现的问题进行归类，提出整改、完善意见，保证专项资金的使用合理。</w:t>
      </w:r>
      <w:r>
        <w:rPr>
          <w:sz w:val="32"/>
          <w:szCs w:val="32"/>
        </w:rPr>
        <w:t> </w:t>
      </w:r>
    </w:p>
    <w:p>
      <w:pPr>
        <w:spacing w:line="600" w:lineRule="exact"/>
        <w:ind w:firstLine="640" w:firstLineChars="200"/>
        <w:rPr>
          <w:rFonts w:eastAsia="仿宋_GB2312"/>
          <w:color w:val="000000"/>
          <w:sz w:val="32"/>
          <w:szCs w:val="32"/>
        </w:rPr>
      </w:pPr>
      <w:r>
        <w:rPr>
          <w:rFonts w:eastAsia="仿宋"/>
          <w:sz w:val="32"/>
          <w:szCs w:val="32"/>
        </w:rPr>
        <w:t>3、验收：专项资金项目按申请计划推进，按时完成项目任务，达到申请报告中预期的绩效目标。</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hint="eastAsia" w:eastAsia="仿宋_GB2312"/>
          <w:sz w:val="32"/>
          <w:szCs w:val="32"/>
          <w:lang w:eastAsia="zh-CN"/>
        </w:rPr>
      </w:pPr>
      <w:r>
        <w:rPr>
          <w:rFonts w:hint="eastAsia" w:eastAsia="仿宋_GB2312"/>
          <w:sz w:val="32"/>
          <w:szCs w:val="32"/>
        </w:rPr>
        <w:t>无</w:t>
      </w:r>
      <w:r>
        <w:rPr>
          <w:rFonts w:hint="eastAsia" w:eastAsia="仿宋_GB2312"/>
          <w:sz w:val="32"/>
          <w:szCs w:val="32"/>
          <w:lang w:eastAsia="zh-CN"/>
        </w:rPr>
        <w:t>。</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hint="eastAsia" w:eastAsia="仿宋_GB2312"/>
          <w:sz w:val="32"/>
          <w:szCs w:val="32"/>
          <w:lang w:eastAsia="zh-CN"/>
        </w:rPr>
      </w:pPr>
      <w:r>
        <w:rPr>
          <w:rFonts w:hint="eastAsia" w:eastAsia="仿宋_GB2312"/>
          <w:sz w:val="32"/>
          <w:szCs w:val="32"/>
        </w:rPr>
        <w:t>无</w:t>
      </w:r>
      <w:r>
        <w:rPr>
          <w:rFonts w:hint="eastAsia" w:eastAsia="仿宋_GB2312"/>
          <w:sz w:val="32"/>
          <w:szCs w:val="32"/>
          <w:lang w:eastAsia="zh-CN"/>
        </w:rPr>
        <w:t>。</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rPr>
          <w:rFonts w:eastAsia="黑体"/>
          <w:sz w:val="32"/>
          <w:szCs w:val="32"/>
        </w:rPr>
      </w:pPr>
      <w:r>
        <w:rPr>
          <w:rFonts w:hint="eastAsia" w:eastAsia="仿宋"/>
          <w:sz w:val="32"/>
          <w:szCs w:val="32"/>
        </w:rPr>
        <w:t>本次自评将运用于来年的预算编制，以期提升资金的使用效率，强化预算绩效管理。本单位没有独立网站，自评结果将在芦淞区政府门户网上统一公示公开，接受社会监督。</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spacing w:line="600" w:lineRule="exact"/>
        <w:ind w:firstLine="640" w:firstLineChars="200"/>
        <w:rPr>
          <w:rFonts w:hint="eastAsia" w:eastAsia="仿宋_GB2312"/>
          <w:sz w:val="32"/>
          <w:szCs w:val="32"/>
          <w:lang w:eastAsia="zh-CN"/>
        </w:rPr>
      </w:pPr>
      <w:r>
        <w:rPr>
          <w:rFonts w:hint="eastAsia" w:eastAsia="仿宋_GB2312"/>
          <w:sz w:val="32"/>
          <w:szCs w:val="32"/>
        </w:rPr>
        <w:t>无</w:t>
      </w:r>
      <w:r>
        <w:rPr>
          <w:rFonts w:hint="eastAsia" w:eastAsia="仿宋_GB2312"/>
          <w:sz w:val="32"/>
          <w:szCs w:val="32"/>
          <w:lang w:eastAsia="zh-CN"/>
        </w:rPr>
        <w:t>。</w:t>
      </w:r>
      <w:bookmarkStart w:id="0" w:name="_GoBack"/>
      <w:bookmarkEnd w:id="0"/>
    </w:p>
    <w:p>
      <w:pPr>
        <w:spacing w:line="600" w:lineRule="exact"/>
        <w:rPr>
          <w:rFonts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591AF3"/>
    <w:rsid w:val="00004E70"/>
    <w:rsid w:val="00086015"/>
    <w:rsid w:val="000A6AAB"/>
    <w:rsid w:val="00207FA3"/>
    <w:rsid w:val="0048598D"/>
    <w:rsid w:val="004C3303"/>
    <w:rsid w:val="00591AF3"/>
    <w:rsid w:val="005A433C"/>
    <w:rsid w:val="005D19E3"/>
    <w:rsid w:val="005D1FBC"/>
    <w:rsid w:val="00605975"/>
    <w:rsid w:val="007118D8"/>
    <w:rsid w:val="00796170"/>
    <w:rsid w:val="007C25D8"/>
    <w:rsid w:val="008C62A7"/>
    <w:rsid w:val="008E369D"/>
    <w:rsid w:val="00A03910"/>
    <w:rsid w:val="00A56C8A"/>
    <w:rsid w:val="00A85915"/>
    <w:rsid w:val="00A93C2F"/>
    <w:rsid w:val="00CA4180"/>
    <w:rsid w:val="00D10E2C"/>
    <w:rsid w:val="00D33001"/>
    <w:rsid w:val="00D5092F"/>
    <w:rsid w:val="00D85A33"/>
    <w:rsid w:val="00DF2AAE"/>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5169B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Calibri" w:hAnsi="Calibri"/>
      <w:szCs w:val="22"/>
    </w:rPr>
  </w:style>
  <w:style w:type="character" w:customStyle="1" w:styleId="7">
    <w:name w:val="页眉 Char"/>
    <w:basedOn w:val="5"/>
    <w:link w:val="3"/>
    <w:uiPriority w:val="0"/>
    <w:rPr>
      <w:rFonts w:ascii="Times New Roman" w:hAnsi="Times New Roman" w:eastAsia="宋体" w:cs="Times New Roman"/>
      <w:kern w:val="2"/>
      <w:sz w:val="18"/>
      <w:szCs w:val="18"/>
    </w:rPr>
  </w:style>
  <w:style w:type="character" w:customStyle="1" w:styleId="8">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517</Words>
  <Characters>2950</Characters>
  <Lines>24</Lines>
  <Paragraphs>6</Paragraphs>
  <TotalTime>31</TotalTime>
  <ScaleCrop>false</ScaleCrop>
  <LinksUpToDate>false</LinksUpToDate>
  <CharactersWithSpaces>3461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2023-10-31T08:08:35Z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