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年度</w:t>
      </w:r>
      <w:r>
        <w:rPr>
          <w:rFonts w:hint="default" w:ascii="Times New Roman" w:hAnsi="Times New Roman" w:eastAsia="方正小标宋简体" w:cs="Times New Roman"/>
          <w:sz w:val="44"/>
          <w:szCs w:val="44"/>
          <w:lang w:val="en-US" w:eastAsia="zh-CN"/>
        </w:rPr>
        <w:t>株洲市</w:t>
      </w:r>
      <w:r>
        <w:rPr>
          <w:rFonts w:hint="default" w:ascii="Times New Roman" w:hAnsi="Times New Roman" w:eastAsia="方正小标宋简体" w:cs="Times New Roman"/>
          <w:sz w:val="44"/>
          <w:szCs w:val="44"/>
        </w:rPr>
        <w:t>芦淞区人力资源和社会保障局整体支出绩效自评报告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单位名称：株洲市芦淞区人力资源和社会保障局</w:t>
      </w:r>
    </w:p>
    <w:p>
      <w:pPr>
        <w:jc w:val="center"/>
        <w:rPr>
          <w:rFonts w:hint="default" w:ascii="Times New Roman" w:hAnsi="Times New Roman" w:eastAsia="黑体" w:cs="Times New Roman"/>
          <w:sz w:val="36"/>
          <w:szCs w:val="36"/>
        </w:rPr>
      </w:pP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（一）部门（单位）基本情况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株洲市芦淞区人力资源和社会保障局是区政府工作部门，为正科级。内设机构5个，所属事业单位4个。</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主要职责是：</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1、贯彻执行国家、省、市有关人力资源和社会保障工作的法律、法规和方针、政策，拟定全区人力资源和社会保障事业的总体规划和实施办法，并组织实施和监督检查。</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2、落实全区事业单位人事制度改革，按照管理权限负责规范事业单位岗位设置、公开招聘、聘用合同、考核奖励等人事综合管理工作。</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3、负责全区事业单位工作人员和机关工勤人员的管理，落实工资福利和离退休政策。</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4、负责全区专业技术人员职称评审等管理工作。</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5、宣传和贯彻劳动保障法律、法规和规章，负责全区劳动监察行政执法工作，承办各类劳动用工的录用备案手续，审批全区特殊工时制，审查集体合同及专项集体合同，监督企业执行最低工资标准。</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6、负责劳动关系的协调，加强对辖区用人单位的监督和检查，依法查处劳动保障案件。会同有关部门统筹做好全区农民工工资支付保障工作，维护农民工合法权益。</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7、负责全区劳动人事争议调解仲裁工作。</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8、负责辖区人力资源市场和经营性人力资源服务机构的指导和监管工作。</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9、负责指导全区就业工作，认定就业困难人员并给予就业援助，核发《就业创业证》；开发并认定公益性岗位；审核灵活就业人员社保补贴；核发就业专项资金。</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统筹推进建立全区覆盖城乡的多层次社会保障体系。负责企业职工工龄认定和企业职工退休审批工作;负责芦淞区企业退休人员丧葬待遇审批工作；负责芦淞区城乡居民基本养老保险、企业职工基本养老保险、失地农民养老保险、失业保险的待遇核定工作；负责机关事业单位退休人员视同缴费年限审核。</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11、制定全区社会保险基金及专项资金的监督管理制度并组织实施，依法查处基金及专项资金管理的违规违纪案件。</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12、承担区为民办实事考核办公室的日常工作，组织民生实事考核。</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13、负责改制企业档案移交及管理工作；指导企业单位退休人员档案的服务与管理。</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14、负责指导基层劳动保障工作。</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15、完成区委、区政府交办的其他任务。</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16、职能转变。</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（1）公务员管理职责划入区委组织部。</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（2）将军官转业安置职责划入区退役军人事务局。</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（3）将城镇职工和城镇居民基本医疗保险、生育保险、新型农村合作医疗职责划入区医疗保障局。</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（4）将外国专家管理职责划入区科技和工业信息化局。</w:t>
      </w:r>
    </w:p>
    <w:p>
      <w:pPr>
        <w:pStyle w:val="2"/>
        <w:keepNext w:val="0"/>
        <w:keepLines w:val="0"/>
        <w:pageBreakBefore w:val="0"/>
        <w:kinsoku/>
        <w:wordWrap/>
        <w:overflowPunct/>
        <w:topLinePunct w:val="0"/>
        <w:autoSpaceDE/>
        <w:autoSpaceDN/>
        <w:bidi w:val="0"/>
        <w:spacing w:line="560" w:lineRule="exact"/>
        <w:ind w:firstLine="720" w:firstLineChars="200"/>
        <w:jc w:val="both"/>
        <w:textAlignment w:val="auto"/>
        <w:rPr>
          <w:rFonts w:hint="default"/>
        </w:rPr>
      </w:pPr>
    </w:p>
    <w:p>
      <w:pPr>
        <w:keepNext w:val="0"/>
        <w:keepLines w:val="0"/>
        <w:pageBreakBefore w:val="0"/>
        <w:numPr>
          <w:ilvl w:val="0"/>
          <w:numId w:val="1"/>
        </w:numPr>
        <w:kinsoku/>
        <w:wordWrap/>
        <w:overflowPunct/>
        <w:topLinePunct w:val="0"/>
        <w:autoSpaceDE/>
        <w:autoSpaceDN/>
        <w:bidi w:val="0"/>
        <w:adjustRightInd/>
        <w:spacing w:line="560" w:lineRule="exact"/>
        <w:ind w:left="0" w:firstLine="643"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部门（单位）年度整体支出绩效目标，部门专项资金绩效目标、其他项目支出（除省级专项资金以外）绩效目标</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color w:val="5B9BD5" w:themeColor="accent1"/>
          <w:sz w:val="32"/>
          <w:szCs w:val="32"/>
          <w:lang w:eastAsia="zh-CN"/>
          <w14:textFill>
            <w14:solidFill>
              <w14:schemeClr w14:val="accent1"/>
            </w14:solidFill>
          </w14:textFill>
        </w:rPr>
      </w:pPr>
      <w:r>
        <w:rPr>
          <w:rFonts w:hint="eastAsia" w:ascii="仿宋_GB2312" w:hAnsi="仿宋_GB2312" w:eastAsia="仿宋_GB2312" w:cs="仿宋_GB2312"/>
          <w:b/>
          <w:bCs/>
          <w:color w:val="auto"/>
          <w:sz w:val="32"/>
          <w:szCs w:val="32"/>
        </w:rPr>
        <w:t>整体支出绩效目标：</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坚持</w:t>
      </w:r>
      <w:r>
        <w:rPr>
          <w:rFonts w:hint="eastAsia" w:ascii="Times New Roman" w:hAnsi="Times New Roman" w:eastAsia="仿宋_GB2312" w:cs="Times New Roman"/>
          <w:b w:val="0"/>
          <w:bCs w:val="0"/>
          <w:color w:val="auto"/>
          <w:sz w:val="32"/>
          <w:szCs w:val="32"/>
        </w:rPr>
        <w:t>就业优先，夯实高质量发展基础。建立稳就业保就业“</w:t>
      </w:r>
      <w:r>
        <w:rPr>
          <w:rFonts w:ascii="Times New Roman" w:hAnsi="Times New Roman" w:eastAsia="仿宋_GB2312" w:cs="Times New Roman"/>
          <w:b w:val="0"/>
          <w:bCs w:val="0"/>
          <w:color w:val="auto"/>
          <w:sz w:val="32"/>
          <w:szCs w:val="32"/>
        </w:rPr>
        <w:t>1+X</w:t>
      </w:r>
      <w:r>
        <w:rPr>
          <w:rFonts w:hint="eastAsia" w:ascii="Times New Roman" w:hAnsi="Times New Roman" w:eastAsia="仿宋_GB2312" w:cs="Times New Roman"/>
          <w:b w:val="0"/>
          <w:bCs w:val="0"/>
          <w:color w:val="auto"/>
          <w:sz w:val="32"/>
          <w:szCs w:val="32"/>
        </w:rPr>
        <w:t>”工作机制</w:t>
      </w:r>
      <w:r>
        <w:rPr>
          <w:rFonts w:hint="eastAsia" w:eastAsia="仿宋_GB2312" w:cs="Times New Roman"/>
          <w:b w:val="0"/>
          <w:bCs w:val="0"/>
          <w:color w:val="auto"/>
          <w:sz w:val="32"/>
          <w:szCs w:val="32"/>
          <w:lang w:eastAsia="zh-CN"/>
        </w:rPr>
        <w:t>，</w:t>
      </w:r>
      <w:r>
        <w:rPr>
          <w:rFonts w:hint="eastAsia" w:ascii="Times New Roman" w:hAnsi="Times New Roman" w:eastAsia="仿宋_GB2312"/>
          <w:sz w:val="32"/>
          <w:szCs w:val="32"/>
        </w:rPr>
        <w:t>持续推动充分就业村（社区）建设</w:t>
      </w:r>
      <w:r>
        <w:rPr>
          <w:rFonts w:hint="eastAsia" w:eastAsia="仿宋_GB2312"/>
          <w:sz w:val="32"/>
          <w:szCs w:val="32"/>
          <w:lang w:eastAsia="zh-CN"/>
        </w:rPr>
        <w:t>，</w:t>
      </w:r>
      <w:r>
        <w:rPr>
          <w:rFonts w:hint="eastAsia" w:ascii="Times New Roman" w:hAnsi="Times New Roman" w:eastAsia="仿宋_GB2312"/>
          <w:sz w:val="32"/>
          <w:szCs w:val="32"/>
        </w:rPr>
        <w:t>建设扶持创业孵化基地</w:t>
      </w:r>
      <w:r>
        <w:rPr>
          <w:rFonts w:hint="eastAsia" w:eastAsia="仿宋_GB2312"/>
          <w:sz w:val="32"/>
          <w:szCs w:val="32"/>
          <w:lang w:eastAsia="zh-CN"/>
        </w:rPr>
        <w:t>，</w:t>
      </w:r>
      <w:r>
        <w:rPr>
          <w:rFonts w:hint="eastAsia" w:ascii="Times New Roman" w:hAnsi="Times New Roman" w:eastAsia="仿宋_GB2312"/>
          <w:sz w:val="32"/>
          <w:szCs w:val="32"/>
        </w:rPr>
        <w:t>打造特色劳务品牌</w:t>
      </w:r>
      <w:r>
        <w:rPr>
          <w:rFonts w:hint="eastAsia" w:eastAsia="仿宋_GB2312"/>
          <w:sz w:val="32"/>
          <w:szCs w:val="32"/>
          <w:lang w:eastAsia="zh-CN"/>
        </w:rPr>
        <w:t>，</w:t>
      </w:r>
      <w:r>
        <w:rPr>
          <w:rFonts w:hint="eastAsia" w:ascii="Times New Roman" w:hAnsi="Times New Roman" w:eastAsia="仿宋_GB2312"/>
          <w:sz w:val="32"/>
          <w:szCs w:val="32"/>
        </w:rPr>
        <w:t>通过“零工经济服务平台”，畅通灵活就业渠道、激活辖区闲散劳动力资源。</w:t>
      </w:r>
      <w:r>
        <w:rPr>
          <w:rFonts w:hint="eastAsia" w:eastAsia="仿宋_GB2312"/>
          <w:b/>
          <w:bCs/>
          <w:sz w:val="32"/>
          <w:szCs w:val="32"/>
          <w:lang w:val="en-US" w:eastAsia="zh-CN"/>
        </w:rPr>
        <w:t>二是</w:t>
      </w:r>
      <w:r>
        <w:rPr>
          <w:rFonts w:hint="eastAsia" w:eastAsia="仿宋_GB2312"/>
          <w:b w:val="0"/>
          <w:bCs w:val="0"/>
          <w:sz w:val="32"/>
          <w:szCs w:val="32"/>
          <w:lang w:val="en-US" w:eastAsia="zh-CN"/>
        </w:rPr>
        <w:t>坚持</w:t>
      </w:r>
      <w:r>
        <w:rPr>
          <w:rFonts w:hint="eastAsia" w:ascii="Times New Roman" w:hAnsi="Times New Roman" w:eastAsia="仿宋_GB2312"/>
          <w:sz w:val="32"/>
          <w:szCs w:val="32"/>
        </w:rPr>
        <w:t>保障优先，完善多层次体系建设</w:t>
      </w:r>
      <w:r>
        <w:rPr>
          <w:rFonts w:hint="eastAsia" w:eastAsia="仿宋_GB2312"/>
          <w:sz w:val="32"/>
          <w:szCs w:val="32"/>
          <w:lang w:eastAsia="zh-CN"/>
        </w:rPr>
        <w:t>。</w:t>
      </w:r>
      <w:r>
        <w:rPr>
          <w:rFonts w:hint="eastAsia" w:ascii="仿宋_GB2312" w:hAnsi="仿宋_GB2312" w:eastAsia="仿宋_GB2312" w:cs="仿宋_GB2312"/>
          <w:sz w:val="32"/>
          <w:szCs w:val="32"/>
        </w:rPr>
        <w:t>巩固养老保险全覆盖成果，</w:t>
      </w:r>
      <w:r>
        <w:rPr>
          <w:rFonts w:ascii="Times New Roman" w:hAnsi="Times New Roman" w:eastAsia="仿宋_GB2312"/>
          <w:sz w:val="32"/>
          <w:szCs w:val="32"/>
        </w:rPr>
        <w:t>实现困难人员</w:t>
      </w:r>
      <w:r>
        <w:rPr>
          <w:rFonts w:hint="eastAsia" w:ascii="Times New Roman" w:hAnsi="Times New Roman" w:eastAsia="仿宋_GB2312"/>
          <w:sz w:val="32"/>
          <w:szCs w:val="32"/>
        </w:rPr>
        <w:t>全员</w:t>
      </w:r>
      <w:r>
        <w:rPr>
          <w:rFonts w:ascii="Times New Roman" w:hAnsi="Times New Roman" w:eastAsia="仿宋_GB2312"/>
          <w:sz w:val="32"/>
          <w:szCs w:val="32"/>
        </w:rPr>
        <w:t>代缴</w:t>
      </w:r>
      <w:r>
        <w:rPr>
          <w:rFonts w:hint="eastAsia" w:eastAsia="仿宋_GB2312"/>
          <w:sz w:val="32"/>
          <w:szCs w:val="32"/>
          <w:lang w:eastAsia="zh-CN"/>
        </w:rPr>
        <w:t>。</w:t>
      </w:r>
      <w:r>
        <w:rPr>
          <w:rFonts w:eastAsia="仿宋_GB2312"/>
          <w:sz w:val="32"/>
          <w:szCs w:val="32"/>
        </w:rPr>
        <w:t>实施全民参保</w:t>
      </w:r>
      <w:r>
        <w:rPr>
          <w:rFonts w:hint="eastAsia" w:eastAsia="仿宋_GB2312"/>
          <w:sz w:val="32"/>
          <w:szCs w:val="32"/>
        </w:rPr>
        <w:t>计划，</w:t>
      </w:r>
      <w:r>
        <w:rPr>
          <w:rFonts w:hint="eastAsia" w:ascii="仿宋_GB2312" w:hAnsi="仿宋_GB2312" w:eastAsia="仿宋_GB2312" w:cs="仿宋_GB2312"/>
          <w:sz w:val="32"/>
          <w:szCs w:val="32"/>
        </w:rPr>
        <w:t>以灵活就业人员、新业态从业人员为重点推进扩面工作</w:t>
      </w:r>
      <w:r>
        <w:rPr>
          <w:rFonts w:hint="eastAsia" w:ascii="Times New Roman" w:hAnsi="Times New Roman" w:eastAsia="仿宋_GB2312"/>
          <w:sz w:val="32"/>
          <w:szCs w:val="32"/>
        </w:rPr>
        <w:t>；</w:t>
      </w:r>
      <w:r>
        <w:rPr>
          <w:rFonts w:hint="eastAsia" w:eastAsia="仿宋_GB2312"/>
          <w:b/>
          <w:bCs/>
          <w:sz w:val="32"/>
          <w:szCs w:val="32"/>
          <w:lang w:val="en-US" w:eastAsia="zh-CN"/>
        </w:rPr>
        <w:t>三是坚持</w:t>
      </w:r>
      <w:r>
        <w:rPr>
          <w:rFonts w:hint="eastAsia" w:eastAsia="仿宋_GB2312"/>
          <w:sz w:val="32"/>
          <w:szCs w:val="32"/>
        </w:rPr>
        <w:t>人才优先，助力区域经济发展</w:t>
      </w:r>
      <w:r>
        <w:rPr>
          <w:rFonts w:hint="eastAsia" w:eastAsia="仿宋_GB2312"/>
          <w:sz w:val="32"/>
          <w:szCs w:val="32"/>
          <w:lang w:eastAsia="zh-CN"/>
        </w:rPr>
        <w:t>。</w:t>
      </w:r>
      <w:r>
        <w:rPr>
          <w:rFonts w:hint="eastAsia" w:ascii="仿宋_GB2312" w:eastAsia="仿宋_GB2312"/>
          <w:sz w:val="32"/>
          <w:szCs w:val="32"/>
        </w:rPr>
        <w:t>全力抓好引进关键人才攻坚工作，继续引进一批企业所需、产业急缺的人才</w:t>
      </w:r>
      <w:r>
        <w:rPr>
          <w:rFonts w:hint="eastAsia" w:ascii="仿宋_GB2312" w:eastAsia="仿宋_GB2312"/>
          <w:sz w:val="32"/>
          <w:szCs w:val="32"/>
          <w:lang w:eastAsia="zh-CN"/>
        </w:rPr>
        <w:t>。</w:t>
      </w:r>
      <w:r>
        <w:rPr>
          <w:rFonts w:hint="eastAsia" w:ascii="仿宋_GB2312" w:eastAsia="仿宋_GB2312"/>
          <w:sz w:val="32"/>
          <w:szCs w:val="32"/>
        </w:rPr>
        <w:t>线上线下齐发力，通过举办招聘会、开展劳务协作、人岗信息匹配、精准招聘等方式服务企业用工</w:t>
      </w:r>
      <w:r>
        <w:rPr>
          <w:rFonts w:hint="eastAsia" w:ascii="仿宋_GB2312" w:eastAsia="仿宋_GB2312"/>
          <w:sz w:val="32"/>
          <w:szCs w:val="32"/>
          <w:lang w:eastAsia="zh-CN"/>
        </w:rPr>
        <w:t>。</w:t>
      </w:r>
      <w:r>
        <w:rPr>
          <w:rFonts w:hint="eastAsia" w:ascii="仿宋_GB2312" w:eastAsia="仿宋_GB2312"/>
          <w:sz w:val="32"/>
          <w:szCs w:val="32"/>
        </w:rPr>
        <w:t>充实我区人才队伍，健全人才激励培养考核机制，</w:t>
      </w:r>
      <w:r>
        <w:rPr>
          <w:rFonts w:hint="eastAsia" w:ascii="仿宋_GB2312" w:eastAsia="仿宋_GB2312"/>
          <w:b/>
          <w:bCs/>
          <w:sz w:val="32"/>
          <w:szCs w:val="32"/>
          <w:lang w:val="en-US" w:eastAsia="zh-CN"/>
        </w:rPr>
        <w:t>四是</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b w:val="0"/>
          <w:bCs/>
          <w:sz w:val="32"/>
          <w:szCs w:val="32"/>
        </w:rPr>
        <w:t>民权优先，构建和谐劳动关系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开展劳动纠纷调解工作及其他法律服务工作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提升全区劳动争议仲裁工作质效。</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2、部门专项绩效目标：</w:t>
      </w:r>
      <w:r>
        <w:rPr>
          <w:rFonts w:hint="default" w:ascii="Times New Roman" w:hAnsi="Times New Roman" w:eastAsia="仿宋_GB2312" w:cs="Times New Roman"/>
          <w:sz w:val="32"/>
          <w:szCs w:val="32"/>
        </w:rPr>
        <w:t>（1）招考工作和人事人才工作经费，进一步优化干部队伍结构，加强干部队伍建设。（2）社保征缴、扩面等专项工作经费，健全失地农民社会保障工作，做好失地农民参保缴费工作、保障退休人员进行资格认证，对重复领待人员进行稽核、保障全民参保工作、城乡居保工作、工伤保险单位参保、缴费等相关经办工作有序进行。（3）民生100工程专项工作经费，完成市里要求的项目指标任务。（</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劳动保障监察、仲裁综合执法及办案经费，保障全区劳动监察行政执法工作，协调劳动关系，加强对辖区用人单位的监督检查，依法查处劳动保障案件，维护农民工合法权益，解决全区劳动人事争议调解仲裁工作。（</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）“3140智慧人社”平台维护费及宣传，推进“3140智慧人社”建设，优化移动端、自助端、企业端和基层端功能，加强平台推广。</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0"/>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000000"/>
          <w:sz w:val="32"/>
          <w:szCs w:val="32"/>
        </w:rPr>
        <w:t>202</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年预算资金</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（1）收入预算：202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年年初预算数</w:t>
      </w:r>
      <w:r>
        <w:rPr>
          <w:rFonts w:hint="default" w:ascii="Times New Roman" w:hAnsi="Times New Roman" w:eastAsia="仿宋_GB2312" w:cs="Times New Roman"/>
          <w:b w:val="0"/>
          <w:bCs w:val="0"/>
          <w:sz w:val="32"/>
          <w:szCs w:val="32"/>
          <w:lang w:val="en-US" w:eastAsia="zh-CN"/>
        </w:rPr>
        <w:t>714.91</w:t>
      </w:r>
      <w:r>
        <w:rPr>
          <w:rFonts w:hint="default" w:ascii="Times New Roman" w:hAnsi="Times New Roman" w:eastAsia="仿宋_GB2312" w:cs="Times New Roman"/>
          <w:b w:val="0"/>
          <w:bCs w:val="0"/>
          <w:sz w:val="32"/>
          <w:szCs w:val="32"/>
        </w:rPr>
        <w:t>万元，其中，一般公共预算拨款</w:t>
      </w:r>
      <w:r>
        <w:rPr>
          <w:rFonts w:hint="default" w:ascii="Times New Roman" w:hAnsi="Times New Roman" w:eastAsia="仿宋_GB2312" w:cs="Times New Roman"/>
          <w:b w:val="0"/>
          <w:bCs w:val="0"/>
          <w:sz w:val="32"/>
          <w:szCs w:val="32"/>
          <w:lang w:val="en-US" w:eastAsia="zh-CN"/>
        </w:rPr>
        <w:t>714.91</w:t>
      </w:r>
      <w:r>
        <w:rPr>
          <w:rFonts w:hint="default" w:ascii="Times New Roman" w:hAnsi="Times New Roman" w:eastAsia="仿宋_GB2312" w:cs="Times New Roman"/>
          <w:b w:val="0"/>
          <w:bCs w:val="0"/>
          <w:sz w:val="32"/>
          <w:szCs w:val="32"/>
        </w:rPr>
        <w:t>万元。</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（2）支出预算：202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年年初预算数</w:t>
      </w:r>
      <w:r>
        <w:rPr>
          <w:rFonts w:hint="default" w:ascii="Times New Roman" w:hAnsi="Times New Roman" w:eastAsia="仿宋_GB2312" w:cs="Times New Roman"/>
          <w:b w:val="0"/>
          <w:bCs w:val="0"/>
          <w:sz w:val="32"/>
          <w:szCs w:val="32"/>
          <w:lang w:val="en-US" w:eastAsia="zh-CN"/>
        </w:rPr>
        <w:t>714.91</w:t>
      </w:r>
      <w:r>
        <w:rPr>
          <w:rFonts w:hint="default" w:ascii="Times New Roman" w:hAnsi="Times New Roman" w:eastAsia="仿宋_GB2312" w:cs="Times New Roman"/>
          <w:b w:val="0"/>
          <w:bCs w:val="0"/>
          <w:sz w:val="32"/>
          <w:szCs w:val="32"/>
        </w:rPr>
        <w:t xml:space="preserve"> 万元，其中，社会保障和就业支出</w:t>
      </w:r>
      <w:r>
        <w:rPr>
          <w:rFonts w:hint="default" w:ascii="Times New Roman" w:hAnsi="Times New Roman" w:eastAsia="仿宋_GB2312" w:cs="Times New Roman"/>
          <w:b w:val="0"/>
          <w:bCs w:val="0"/>
          <w:sz w:val="32"/>
          <w:szCs w:val="32"/>
          <w:lang w:val="en-US" w:eastAsia="zh-CN"/>
        </w:rPr>
        <w:t>714.91</w:t>
      </w:r>
      <w:r>
        <w:rPr>
          <w:rFonts w:hint="default" w:ascii="Times New Roman" w:hAnsi="Times New Roman" w:eastAsia="仿宋_GB2312" w:cs="Times New Roman"/>
          <w:b w:val="0"/>
          <w:bCs w:val="0"/>
          <w:sz w:val="32"/>
          <w:szCs w:val="32"/>
        </w:rPr>
        <w:t>万元</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年度单位一般公共预算财政拨款收入</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年度单位一般公共预算财政拨款收入</w:t>
      </w:r>
      <w:r>
        <w:rPr>
          <w:rFonts w:hint="default"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424.67</w:t>
      </w:r>
      <w:r>
        <w:rPr>
          <w:rFonts w:hint="default" w:ascii="Times New Roman" w:hAnsi="Times New Roman" w:eastAsia="仿宋_GB2312" w:cs="Times New Roman"/>
          <w:b w:val="0"/>
          <w:bCs w:val="0"/>
          <w:sz w:val="32"/>
          <w:szCs w:val="32"/>
        </w:rPr>
        <w:t>万元。</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年度单位一般公共预算财政拨款支出</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年度单位一般公共预算财政拨款支出</w:t>
      </w:r>
      <w:r>
        <w:rPr>
          <w:rFonts w:hint="default"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424.67</w:t>
      </w:r>
      <w:r>
        <w:rPr>
          <w:rFonts w:hint="default" w:ascii="Times New Roman" w:hAnsi="Times New Roman" w:eastAsia="仿宋_GB2312" w:cs="Times New Roman"/>
          <w:b w:val="0"/>
          <w:bCs w:val="0"/>
          <w:sz w:val="32"/>
          <w:szCs w:val="32"/>
        </w:rPr>
        <w:t>万元，其中：项目支出</w:t>
      </w:r>
      <w:r>
        <w:rPr>
          <w:rFonts w:hint="default" w:ascii="Times New Roman" w:hAnsi="Times New Roman" w:eastAsia="仿宋_GB2312" w:cs="Times New Roman"/>
          <w:b w:val="0"/>
          <w:bCs w:val="0"/>
          <w:sz w:val="32"/>
          <w:szCs w:val="32"/>
          <w:lang w:val="en-US" w:eastAsia="zh-CN"/>
        </w:rPr>
        <w:t>762.84</w:t>
      </w:r>
      <w:r>
        <w:rPr>
          <w:rFonts w:hint="default" w:ascii="Times New Roman" w:hAnsi="Times New Roman" w:eastAsia="仿宋_GB2312" w:cs="Times New Roman"/>
          <w:b w:val="0"/>
          <w:bCs w:val="0"/>
          <w:sz w:val="32"/>
          <w:szCs w:val="32"/>
        </w:rPr>
        <w:t>万元，基本支出</w:t>
      </w:r>
      <w:r>
        <w:rPr>
          <w:rFonts w:hint="default" w:ascii="Times New Roman" w:hAnsi="Times New Roman" w:eastAsia="仿宋_GB2312" w:cs="Times New Roman"/>
          <w:b w:val="0"/>
          <w:bCs w:val="0"/>
          <w:sz w:val="32"/>
          <w:szCs w:val="32"/>
          <w:lang w:val="en-US" w:eastAsia="zh-CN"/>
        </w:rPr>
        <w:t>661.83</w:t>
      </w:r>
      <w:r>
        <w:rPr>
          <w:rFonts w:hint="default" w:ascii="Times New Roman" w:hAnsi="Times New Roman" w:eastAsia="仿宋_GB2312" w:cs="Times New Roman"/>
          <w:b w:val="0"/>
          <w:bCs w:val="0"/>
          <w:sz w:val="32"/>
          <w:szCs w:val="32"/>
        </w:rPr>
        <w:t>万元，其中：人员经费</w:t>
      </w:r>
      <w:r>
        <w:rPr>
          <w:rFonts w:hint="default" w:ascii="Times New Roman" w:hAnsi="Times New Roman" w:eastAsia="仿宋_GB2312" w:cs="Times New Roman"/>
          <w:b w:val="0"/>
          <w:bCs w:val="0"/>
          <w:sz w:val="32"/>
          <w:szCs w:val="32"/>
          <w:lang w:val="en-US" w:eastAsia="zh-CN"/>
        </w:rPr>
        <w:t>599.12</w:t>
      </w:r>
      <w:r>
        <w:rPr>
          <w:rFonts w:hint="default" w:ascii="Times New Roman" w:hAnsi="Times New Roman" w:eastAsia="仿宋_GB2312" w:cs="Times New Roman"/>
          <w:b w:val="0"/>
          <w:bCs w:val="0"/>
          <w:sz w:val="32"/>
          <w:szCs w:val="32"/>
        </w:rPr>
        <w:t>万元，公用经费</w:t>
      </w:r>
      <w:r>
        <w:rPr>
          <w:rFonts w:hint="default" w:ascii="Times New Roman" w:hAnsi="Times New Roman" w:eastAsia="仿宋_GB2312" w:cs="Times New Roman"/>
          <w:b w:val="0"/>
          <w:bCs w:val="0"/>
          <w:sz w:val="32"/>
          <w:szCs w:val="32"/>
          <w:lang w:val="en-US" w:eastAsia="zh-CN"/>
        </w:rPr>
        <w:t>62.71</w:t>
      </w:r>
      <w:r>
        <w:rPr>
          <w:rFonts w:hint="default" w:ascii="Times New Roman" w:hAnsi="Times New Roman" w:eastAsia="仿宋_GB2312" w:cs="Times New Roman"/>
          <w:b w:val="0"/>
          <w:bCs w:val="0"/>
          <w:sz w:val="32"/>
          <w:szCs w:val="32"/>
        </w:rPr>
        <w:t>万元。</w:t>
      </w:r>
    </w:p>
    <w:p>
      <w:pPr>
        <w:pStyle w:val="10"/>
        <w:keepNext w:val="0"/>
        <w:keepLines w:val="0"/>
        <w:pageBreakBefore w:val="0"/>
        <w:numPr>
          <w:ilvl w:val="0"/>
          <w:numId w:val="3"/>
        </w:numPr>
        <w:kinsoku/>
        <w:wordWrap/>
        <w:overflowPunct/>
        <w:topLinePunct w:val="0"/>
        <w:autoSpaceDE/>
        <w:autoSpaceDN/>
        <w:bidi w:val="0"/>
        <w:adjustRightInd/>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highlight w:val="none"/>
          <w:lang w:eastAsia="zh-CN"/>
        </w:rPr>
        <w:t>2020年度新冠肺炎疫情防控工作补助4.4万元；</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公开招聘事业单位工作人员工作经费3.76万元；</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互联网+人社平台（3140智慧人社)5.56万元；</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禁捕退捕工作经费1万元；</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就业资金21.11万元；</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就业资金（上级专款）696.95万元；</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劳动保障监察、仲裁综合执法及办案经费6.11万元；</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民生100工程专项6.23万元；</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社保征缴、扩面等专项15.26万元；</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招考工作和人事人才2.46万元。</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无。</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(一）部门整体支出绩效情况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0000FF"/>
          <w:sz w:val="32"/>
          <w:szCs w:val="32"/>
          <w:lang w:val="en-US" w:eastAsia="zh-CN"/>
        </w:rPr>
      </w:pPr>
      <w:r>
        <w:rPr>
          <w:rFonts w:hint="default" w:ascii="Times New Roman" w:hAnsi="Times New Roman" w:eastAsia="仿宋_GB2312" w:cs="Times New Roman"/>
          <w:b w:val="0"/>
          <w:bCs w:val="0"/>
          <w:color w:val="auto"/>
          <w:sz w:val="32"/>
          <w:szCs w:val="32"/>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年，我局整体支出绩效良好，全面完成相关绩效目标任务，所有相关考核指标达标。</w:t>
      </w:r>
      <w:r>
        <w:rPr>
          <w:rFonts w:ascii="Times New Roman" w:hAnsi="Times New Roman" w:eastAsia="仿宋_GB2312" w:cs="Times New Roman"/>
          <w:b w:val="0"/>
          <w:bCs w:val="0"/>
          <w:sz w:val="32"/>
          <w:szCs w:val="32"/>
        </w:rPr>
        <w:t>促进就业和社会保障工作获得2022年度湖南省政府真抓实干表扬激励和株洲市2022年度真抓实干贡献突出单位，保障农民工工资支付工作在株洲市综合考核中获评A档</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color w:val="auto"/>
          <w:sz w:val="32"/>
          <w:szCs w:val="32"/>
          <w:lang w:val="en-US" w:eastAsia="zh-CN"/>
        </w:rPr>
        <w:t>在芦淞区2022年</w:t>
      </w:r>
      <w:r>
        <w:rPr>
          <w:rFonts w:hint="eastAsia" w:eastAsia="仿宋_GB2312" w:cs="Times New Roman"/>
          <w:b w:val="0"/>
          <w:bCs w:val="0"/>
          <w:color w:val="auto"/>
          <w:sz w:val="32"/>
          <w:szCs w:val="32"/>
          <w:lang w:val="en-US" w:eastAsia="zh-CN"/>
        </w:rPr>
        <w:t>度镇（街道）和区直</w:t>
      </w:r>
      <w:r>
        <w:rPr>
          <w:rFonts w:hint="eastAsia" w:ascii="Times New Roman" w:hAnsi="Times New Roman" w:eastAsia="仿宋_GB2312" w:cs="Times New Roman"/>
          <w:b w:val="0"/>
          <w:bCs w:val="0"/>
          <w:color w:val="auto"/>
          <w:sz w:val="32"/>
          <w:szCs w:val="32"/>
          <w:lang w:val="en-US" w:eastAsia="zh-CN"/>
        </w:rPr>
        <w:t>单位绩效考核中获评优秀单位</w:t>
      </w:r>
      <w:r>
        <w:rPr>
          <w:rFonts w:hint="eastAsia" w:ascii="Times New Roman" w:hAnsi="Times New Roman" w:eastAsia="仿宋_GB2312" w:cs="Times New Roman"/>
          <w:b w:val="0"/>
          <w:bCs w:val="0"/>
          <w:color w:val="0000FF"/>
          <w:sz w:val="32"/>
          <w:szCs w:val="32"/>
          <w:lang w:val="en-US" w:eastAsia="zh-CN"/>
        </w:rPr>
        <w:t>。</w:t>
      </w:r>
    </w:p>
    <w:p>
      <w:pPr>
        <w:pStyle w:val="2"/>
        <w:keepNext w:val="0"/>
        <w:keepLines w:val="0"/>
        <w:pageBreakBefore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b w:val="0"/>
          <w:bCs w:val="0"/>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kern w:val="0"/>
          <w:sz w:val="32"/>
          <w:szCs w:val="32"/>
          <w14:textFill>
            <w14:solidFill>
              <w14:schemeClr w14:val="tx1"/>
            </w14:solidFill>
          </w14:textFill>
        </w:rPr>
        <w:t>就业创业争得新佳绩。</w:t>
      </w:r>
      <w:r>
        <w:rPr>
          <w:rFonts w:hint="eastAsia" w:ascii="仿宋_GB2312" w:hAnsi="仿宋_GB2312" w:eastAsia="仿宋_GB2312" w:cs="仿宋_GB2312"/>
          <w:b w:val="0"/>
          <w:bCs w:val="0"/>
          <w:snapToGrid w:val="0"/>
          <w:color w:val="000000" w:themeColor="text1"/>
          <w:kern w:val="0"/>
          <w:sz w:val="32"/>
          <w:szCs w:val="32"/>
          <w14:textFill>
            <w14:solidFill>
              <w14:schemeClr w14:val="tx1"/>
            </w14:solidFill>
          </w14:textFill>
        </w:rPr>
        <w:t>坚持就业优先战略，以“轻淞就业”服务品牌为引领，打造“航空工匠”等6个区级特色劳务品牌，珍爱家政、鸳鸯生态农庄、理域生态农场等项目在“中国创翼”创业创新大赛中获得省三等奖、市一等奖等多个奖项。累计发放创业担保贷款4890万元。开展技能培训、创业培训4300余人次。去年7月3日，人社部时任副部长汤涛一行到南方公司，现场调研国家级技能大师邓元山工作室及精密加工中心，对我区新型学徒制技能培训及大师工作室等相关工作予以充分肯定。结合辖区实际，打造就业创业中心生态圈、中心商圈“零工之家”“共享管家”零工服务平台“就业之花进楼栋”等，成为芦淞区就业创业特色帮扶的典型案例。8月29日，人社部副部长俞家栋率国务院督查组一行到我区“就业创业中心生态圈”现场视察，详细了解我区就业创业工作，再次给予充分肯定和高度评价。经湖南省人社厅总结评估，我区参评的12个社区（村）全部获得省级充分就业社区（村），其中9个社区被认定为“2022年湖南省省级充分就业星级社区”，通过“平台规范、绩效量化、培训常态”等措施，实现更加充分就业。开展“就业援助月”“湘融湘爱”“311就业服务日”“点亮万家灯火”就业帮扶等系列活动，提升全区基层公共就业服务效能。</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both"/>
        <w:textAlignment w:val="auto"/>
        <w:rPr>
          <w:rFonts w:ascii="Times New Roman" w:hAnsi="Times New Roman" w:eastAsia="仿宋_GB2312" w:cs="Times New Roman"/>
          <w:b w:val="0"/>
          <w:bCs w:val="0"/>
          <w:sz w:val="32"/>
          <w:szCs w:val="32"/>
          <w:shd w:val="clear" w:color="auto" w:fill="FFFFFF"/>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bCs w:val="0"/>
          <w:sz w:val="32"/>
          <w:szCs w:val="32"/>
          <w:shd w:val="clear" w:color="auto" w:fill="FFFFFF"/>
        </w:rPr>
        <w:t>人才队伍获得新优化。扩充岗位资源库，畅通线上线下招聘渠道，开展专项招聘33场，服务企业438家，达成招聘意向2513人。加强政校企合作，促成10余家企业与各类高等院校签订合作协议，为企业招揽高校毕业生591人。组织辖区企业申报高层次人才分类认定和安家补贴，96人成功认定为高层次人才，5人成功申报安家补贴，为辖区重点企业50余名人才协调子女入学问题。在全市率先承办民营企业工程系列中级职称评审，为民营企业专技人才畅通晋升渠道，为企业培养人才提供强劲动力。规范全区事业单位人员管理，开展全区事业单位一般干部交流工作，招聘各类人员124人。完成了我区139名事业单位工作人员等级晋升审批工作。</w:t>
      </w:r>
    </w:p>
    <w:p>
      <w:pPr>
        <w:pStyle w:val="2"/>
        <w:keepNext w:val="0"/>
        <w:keepLines w:val="0"/>
        <w:pageBreakBefore w:val="0"/>
        <w:kinsoku/>
        <w:wordWrap/>
        <w:overflowPunct/>
        <w:topLinePunct w:val="0"/>
        <w:autoSpaceDE/>
        <w:autoSpaceDN/>
        <w:bidi w:val="0"/>
        <w:adjustRightInd/>
        <w:snapToGrid w:val="0"/>
        <w:spacing w:line="560" w:lineRule="exact"/>
        <w:ind w:left="0" w:firstLine="640" w:firstLineChars="200"/>
        <w:jc w:val="both"/>
        <w:textAlignment w:val="auto"/>
        <w:rPr>
          <w:rStyle w:val="15"/>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仿宋_GB2312" w:eastAsia="仿宋_GB2312" w:cs="Times New Roman"/>
          <w:b w:val="0"/>
          <w:bCs w:val="0"/>
          <w:sz w:val="32"/>
          <w:szCs w:val="32"/>
          <w:shd w:val="clear" w:color="auto" w:fill="FFFFFF"/>
        </w:rPr>
        <w:t>社会保障赢得新进展</w:t>
      </w:r>
      <w:r>
        <w:rPr>
          <w:rFonts w:hint="eastAsia" w:hAnsi="仿宋_GB2312" w:eastAsia="仿宋_GB2312" w:cs="Times New Roman"/>
          <w:b w:val="0"/>
          <w:bCs w:val="0"/>
          <w:sz w:val="32"/>
          <w:szCs w:val="32"/>
          <w:shd w:val="clear" w:color="auto" w:fill="FFFFFF"/>
          <w:lang w:val="en-US" w:eastAsia="zh-CN"/>
        </w:rPr>
        <w:t>.</w:t>
      </w:r>
      <w:r>
        <w:rPr>
          <w:rFonts w:ascii="Times New Roman" w:hAnsi="Times New Roman" w:eastAsia="仿宋_GB2312" w:cs="Times New Roman"/>
          <w:b w:val="0"/>
          <w:bCs w:val="0"/>
          <w:sz w:val="32"/>
          <w:szCs w:val="32"/>
          <w:shd w:val="clear" w:color="auto" w:fill="FFFFFF"/>
        </w:rPr>
        <w:t>举行人社政策宣讲会29场次，发放宣传手册2万余份，发布政策解读文章40余篇，营造全民参保良好氛围。全年，全区企业职保参保62878人，企业职保退休22295人，参保人员增长12.8%；征缴收入增长27.16%；平均缴费工资占社平工资比76.8%。成立社保基金安全宣讲团，赴各街道（镇）进行集中宣讲和警示教育。健全机制，完善制度，强化经办风险排查和处置，充分发挥审计监督作用。2月、7月，省人社厅调研组两次来我区调研，均给予了充分肯定。全力落实国家省市各类惠企惠民政策，为1786家企业降低失业保险费共计568.99万元，为11家企业缓缴企业职工基本养老保险费，为13家企业缓缴失业保险费，657家企业稳岗返还资金348.56万元，惠及职工10158名，向企业发放一次性扩岗补助30.6万元。扎实办好民生实事，强化民生实事各项目动态监管，我区承担的12个省、市重点民生实事23项指标均按质按量超额完成，提升了人民群众的幸福感。</w:t>
      </w:r>
    </w:p>
    <w:p>
      <w:pPr>
        <w:pStyle w:val="2"/>
        <w:keepNext w:val="0"/>
        <w:keepLines w:val="0"/>
        <w:pageBreakBefore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eastAsia" w:eastAsia="仿宋_GB2312" w:cs="Times New Roman"/>
          <w:b w:val="0"/>
          <w:bCs w:val="0"/>
          <w:color w:val="000000" w:themeColor="text1"/>
          <w:sz w:val="32"/>
          <w:szCs w:val="32"/>
          <w:lang w:val="en-US" w:eastAsia="zh-CN"/>
          <w14:textFill>
            <w14:solidFill>
              <w14:schemeClr w14:val="tx1"/>
            </w14:solidFill>
          </w14:textFill>
        </w:rPr>
        <w:t>.</w:t>
      </w:r>
      <w:r>
        <w:rPr>
          <w:rFonts w:ascii="Times New Roman" w:hAnsi="仿宋_GB2312" w:eastAsia="仿宋_GB2312" w:cs="Times New Roman"/>
          <w:b w:val="0"/>
          <w:bCs w:val="0"/>
          <w:sz w:val="32"/>
          <w:szCs w:val="32"/>
          <w:shd w:val="clear" w:color="auto" w:fill="FFFFFF"/>
        </w:rPr>
        <w:t>劳动关系得到新加强</w:t>
      </w:r>
      <w:r>
        <w:rPr>
          <w:rFonts w:hint="eastAsia" w:hAnsi="仿宋_GB2312" w:eastAsia="仿宋_GB2312" w:cs="Times New Roman"/>
          <w:b w:val="0"/>
          <w:bCs w:val="0"/>
          <w:sz w:val="32"/>
          <w:szCs w:val="32"/>
          <w:shd w:val="clear" w:color="auto" w:fill="FFFFFF"/>
          <w:lang w:eastAsia="zh-CN"/>
        </w:rPr>
        <w:t>。</w:t>
      </w:r>
      <w:r>
        <w:rPr>
          <w:rFonts w:ascii="Times New Roman" w:hAnsi="Times New Roman" w:eastAsia="仿宋_GB2312" w:cs="Times New Roman"/>
          <w:b w:val="0"/>
          <w:bCs w:val="0"/>
          <w:sz w:val="32"/>
          <w:szCs w:val="32"/>
          <w:shd w:val="clear" w:color="auto" w:fill="FFFFFF"/>
        </w:rPr>
        <w:t>坚持行政与司法相结合，健全风险防控机制，加强企业用工指导。完善监察仲裁重大案件处理协商机制，从速从快妥善处理劳动纠纷案件，做好舆情监测和舆论引导，强化矛盾前置化解工作。建立劳动纠纷“一站式”多元化解联动处置机制，实现多部门共同参与、联动处置，全年共处理劳动投诉举报341件，同比增加10%，涉及劳动者933人，为劳动者追回劳动报酬1172万元，处理网上信访件13件，市长热线98件,人社部欠薪线索核处系统交办件381件。劳动争议仲裁案件当期立案312件，同比增加37%。开展根治拖欠农民工工资专项行动，地毯式巡查16个在建建筑工程项目，走访摸排100余家劳动密集型企业，排查欠薪隐患15个。实时掌握项目农民工工资支付情况，守住了“政府性投资项目无拖欠”这一底线。</w:t>
      </w:r>
    </w:p>
    <w:p>
      <w:pPr>
        <w:keepNext w:val="0"/>
        <w:keepLines w:val="0"/>
        <w:pageBreakBefore w:val="0"/>
        <w:kinsoku/>
        <w:wordWrap/>
        <w:overflowPunct/>
        <w:topLinePunct w:val="0"/>
        <w:autoSpaceDE/>
        <w:autoSpaceDN/>
        <w:bidi w:val="0"/>
        <w:adjustRightInd/>
        <w:spacing w:line="560" w:lineRule="exact"/>
        <w:ind w:left="0" w:firstLine="643" w:firstLineChars="200"/>
        <w:jc w:val="both"/>
        <w:textAlignment w:val="auto"/>
        <w:rPr>
          <w:rFonts w:hint="default" w:ascii="Times New Roman" w:hAnsi="Times New Roman" w:eastAsia="楷体_GB2312" w:cs="Times New Roman"/>
          <w:b/>
          <w:bCs w:val="0"/>
          <w:color w:val="auto"/>
          <w:sz w:val="32"/>
          <w:szCs w:val="32"/>
        </w:rPr>
      </w:pPr>
      <w:r>
        <w:rPr>
          <w:rFonts w:hint="default" w:ascii="Times New Roman" w:hAnsi="Times New Roman" w:eastAsia="楷体_GB2312" w:cs="Times New Roman"/>
          <w:b/>
          <w:bCs w:val="0"/>
          <w:color w:val="auto"/>
          <w:sz w:val="32"/>
          <w:szCs w:val="32"/>
        </w:rPr>
        <w:t>（二）专项资金支出绩效情况</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招考工作和人事人才项目：开展专项招聘33场，服务企业438家，达成招聘意向2513人。加强政校企合作，促成10余家企与各类高等院校签订合作协议，为企业招揽高校毕业生591人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组织辖区企业申报高层次人才分类认定和安家补贴，96人成功认定为高层次人才，5人成功申报安家补贴，为辖区重点企业50余名人才协调子女入学问题。</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val="en-US" w:eastAsia="zh-CN"/>
        </w:rPr>
        <w:t>2.公开招聘事业单位工作人员项目：</w:t>
      </w:r>
      <w:r>
        <w:rPr>
          <w:rFonts w:hint="default" w:ascii="Times New Roman" w:hAnsi="Times New Roman" w:eastAsia="仿宋_GB2312" w:cs="Times New Roman"/>
          <w:b w:val="0"/>
          <w:bCs w:val="0"/>
          <w:color w:val="auto"/>
          <w:sz w:val="32"/>
          <w:szCs w:val="32"/>
        </w:rPr>
        <w:t>规范全区事业单位人员管理，开展全业区事业单位一般干部交流工作，招聘各类人员124人。</w:t>
      </w:r>
      <w:r>
        <w:rPr>
          <w:rFonts w:ascii="Times New Roman" w:hAnsi="Times New Roman" w:eastAsia="仿宋_GB2312" w:cs="Times New Roman"/>
          <w:b w:val="0"/>
          <w:bCs w:val="0"/>
          <w:sz w:val="32"/>
          <w:szCs w:val="32"/>
          <w:shd w:val="clear" w:color="auto" w:fill="FFFFFF"/>
        </w:rPr>
        <w:t>完成了我区139名事业单位工作人员等级晋升审批工作。</w:t>
      </w:r>
    </w:p>
    <w:p>
      <w:pPr>
        <w:keepNext w:val="0"/>
        <w:keepLines w:val="0"/>
        <w:pageBreakBefore w:val="0"/>
        <w:kinsoku/>
        <w:wordWrap/>
        <w:overflowPunct/>
        <w:topLinePunct w:val="0"/>
        <w:autoSpaceDE/>
        <w:autoSpaceDN/>
        <w:bidi w:val="0"/>
        <w:adjustRightInd/>
        <w:snapToGrid w:val="0"/>
        <w:spacing w:line="560" w:lineRule="exact"/>
        <w:ind w:left="0" w:firstLine="640" w:firstLineChars="200"/>
        <w:jc w:val="both"/>
        <w:textAlignment w:val="auto"/>
        <w:rPr>
          <w:rFonts w:ascii="Times New Roman" w:hAnsi="Times New Roman" w:eastAsia="仿宋_GB2312" w:cs="Times New Roman"/>
          <w:b w:val="0"/>
          <w:bCs w:val="0"/>
          <w:sz w:val="32"/>
          <w:szCs w:val="32"/>
          <w:shd w:val="clear" w:color="auto" w:fill="FFFFFF"/>
        </w:rPr>
      </w:pPr>
      <w:r>
        <w:rPr>
          <w:rFonts w:hint="eastAsia"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劳动保障监察、仲裁综合执法及办案项目：</w:t>
      </w:r>
      <w:r>
        <w:rPr>
          <w:rFonts w:ascii="Times New Roman" w:hAnsi="Times New Roman" w:eastAsia="仿宋_GB2312" w:cs="Times New Roman"/>
          <w:b w:val="0"/>
          <w:bCs w:val="0"/>
          <w:sz w:val="32"/>
          <w:szCs w:val="32"/>
          <w:shd w:val="clear" w:color="auto" w:fill="FFFFFF"/>
        </w:rPr>
        <w:t>全年共处理劳动投诉举报341件，同比增加10%，涉及劳动者933人，为劳动者追回劳动报酬1172万元，处理网上信访件13件，市长热线98件,人社部欠薪线索核处系统交办件381件。劳动争议仲裁案件当期立案312件，同比增加37%。开展根治拖欠农民工工资专项行动，地毯式巡查16个在建建筑工程项目，走访摸排100余家劳动密集型企业，排查欠薪隐患15个。</w:t>
      </w:r>
    </w:p>
    <w:p>
      <w:pPr>
        <w:keepNext w:val="0"/>
        <w:keepLines w:val="0"/>
        <w:pageBreakBefore w:val="0"/>
        <w:kinsoku/>
        <w:wordWrap/>
        <w:overflowPunct/>
        <w:topLinePunct w:val="0"/>
        <w:autoSpaceDE/>
        <w:autoSpaceDN/>
        <w:bidi w:val="0"/>
        <w:adjustRightInd/>
        <w:snapToGrid w:val="0"/>
        <w:spacing w:line="560" w:lineRule="exact"/>
        <w:ind w:left="0" w:firstLine="640" w:firstLineChars="200"/>
        <w:jc w:val="both"/>
        <w:textAlignment w:val="auto"/>
        <w:rPr>
          <w:rStyle w:val="15"/>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社</w:t>
      </w:r>
      <w:r>
        <w:rPr>
          <w:rFonts w:hint="default" w:ascii="Times New Roman" w:hAnsi="Times New Roman" w:eastAsia="仿宋_GB2312" w:cs="Times New Roman"/>
          <w:b w:val="0"/>
          <w:bCs w:val="0"/>
          <w:sz w:val="32"/>
          <w:szCs w:val="32"/>
        </w:rPr>
        <w:t>保征缴、扩面等专项项目</w:t>
      </w:r>
      <w:r>
        <w:rPr>
          <w:rFonts w:hint="default" w:ascii="Times New Roman" w:hAnsi="Times New Roman" w:eastAsia="仿宋_GB2312" w:cs="Times New Roman"/>
          <w:b w:val="0"/>
          <w:bCs w:val="0"/>
          <w:sz w:val="32"/>
          <w:szCs w:val="32"/>
          <w:lang w:eastAsia="zh-CN"/>
        </w:rPr>
        <w:t>：</w:t>
      </w:r>
      <w:r>
        <w:rPr>
          <w:rStyle w:val="15"/>
          <w:rFonts w:hint="default" w:ascii="Times New Roman" w:hAnsi="Times New Roman" w:eastAsia="仿宋_GB2312" w:cs="Times New Roman"/>
          <w:b w:val="0"/>
          <w:bCs w:val="0"/>
          <w:color w:val="000000" w:themeColor="text1"/>
          <w:sz w:val="32"/>
          <w:szCs w:val="32"/>
          <w14:textFill>
            <w14:solidFill>
              <w14:schemeClr w14:val="tx1"/>
            </w14:solidFill>
          </w14:textFill>
        </w:rPr>
        <w:t>召开人社政策宣讲会29场次，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发放宣传手册2万余份，发布政策解读文章40余篇，营造全民参保良好氛围。</w:t>
      </w:r>
      <w:r>
        <w:rPr>
          <w:rStyle w:val="15"/>
          <w:rFonts w:hint="default" w:ascii="Times New Roman" w:hAnsi="Times New Roman" w:eastAsia="仿宋_GB2312" w:cs="Times New Roman"/>
          <w:b w:val="0"/>
          <w:bCs w:val="0"/>
          <w:color w:val="000000" w:themeColor="text1"/>
          <w:sz w:val="32"/>
          <w:szCs w:val="32"/>
          <w14:textFill>
            <w14:solidFill>
              <w14:schemeClr w14:val="tx1"/>
            </w14:solidFill>
          </w14:textFill>
        </w:rPr>
        <w:t>全年，全区企业职保参保62878人，企业职保退休22295人，参保人员增长12.8%；征缴收入增长27.16%；平均缴费工资占社平工资比76.8%。认真落实国家省市各类惠企惠民政策，为1786家企业降低失业保险费共计568.99万元，为11家企业缓缴企业职工基本养老保险费，为13家企业缓缴失业保险费，657家企业稳岗返还资金348.56万元，惠及职工10158名，向企业发放一次性扩岗补助30.6万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b w:val="0"/>
          <w:bCs w:val="0"/>
        </w:rPr>
      </w:pP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互联网+人社平台（3140智慧人社)项目：“3140智慧人社”服务平台建设聚焦民生打包办件，减负“一网通办”</w:t>
      </w:r>
      <w:r>
        <w:rPr>
          <w:rFonts w:hint="default" w:ascii="Times New Roman" w:hAnsi="Times New Roman" w:eastAsia="仿宋_GB2312" w:cs="Times New Roman"/>
          <w:b w:val="0"/>
          <w:bCs w:val="0"/>
          <w:sz w:val="32"/>
          <w:szCs w:val="32"/>
        </w:rPr>
        <w:t>。</w:t>
      </w:r>
    </w:p>
    <w:p>
      <w:pPr>
        <w:keepNext w:val="0"/>
        <w:keepLines w:val="0"/>
        <w:pageBreakBefore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color w:val="0000FF"/>
          <w:sz w:val="32"/>
          <w:szCs w:val="32"/>
        </w:rPr>
      </w:pPr>
      <w:r>
        <w:rPr>
          <w:rFonts w:hint="eastAsia"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民生100工程专项项目：</w:t>
      </w:r>
      <w:r>
        <w:rPr>
          <w:rStyle w:val="15"/>
          <w:rFonts w:hint="default" w:ascii="Times New Roman" w:hAnsi="Times New Roman" w:eastAsia="仿宋_GB2312" w:cs="Times New Roman"/>
          <w:b w:val="0"/>
          <w:bCs w:val="0"/>
          <w:color w:val="000000" w:themeColor="text1"/>
          <w:sz w:val="32"/>
          <w:szCs w:val="32"/>
          <w14:textFill>
            <w14:solidFill>
              <w14:schemeClr w14:val="tx1"/>
            </w14:solidFill>
          </w14:textFill>
        </w:rPr>
        <w:t>我区承担的12个省、市重点民生实事23项指标均按质按量超额完成。</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就业资金项目：</w:t>
      </w:r>
      <w:r>
        <w:rPr>
          <w:rFonts w:hint="eastAsia" w:ascii="仿宋_GB2312" w:hAnsi="仿宋_GB2312" w:eastAsia="仿宋_GB2312" w:cs="仿宋_GB2312"/>
          <w:b w:val="0"/>
          <w:bCs w:val="0"/>
          <w:snapToGrid w:val="0"/>
          <w:color w:val="000000" w:themeColor="text1"/>
          <w:kern w:val="0"/>
          <w:sz w:val="32"/>
          <w:szCs w:val="32"/>
          <w14:textFill>
            <w14:solidFill>
              <w14:schemeClr w14:val="tx1"/>
            </w14:solidFill>
          </w14:textFill>
        </w:rPr>
        <w:t>打造“航空工匠”等6个区级特色劳务品牌，珍爱家政、鸳鸯生态农庄、理域生态农场等项目在“中国创翼”创业创新大赛中获得省三等奖、市一等奖等多个奖项</w:t>
      </w:r>
      <w:r>
        <w:rPr>
          <w:rFonts w:hint="eastAsia" w:ascii="仿宋_GB2312" w:hAnsi="仿宋_GB2312" w:eastAsia="仿宋_GB2312" w:cs="仿宋_GB2312"/>
          <w:b w:val="0"/>
          <w:bCs w:val="0"/>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kern w:val="0"/>
          <w:sz w:val="32"/>
          <w:szCs w:val="32"/>
          <w14:textFill>
            <w14:solidFill>
              <w14:schemeClr w14:val="tx1"/>
            </w14:solidFill>
          </w14:textFill>
        </w:rPr>
        <w:t>经湖南省人社厅总结评估，我区参评的12个社区（村）全部获得省级充分就业社区（村），其中9个社区被认定为“2022年湖南省省级充分就业星级社区”。</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8.就业资金（上级专款）：</w:t>
      </w:r>
      <w:r>
        <w:rPr>
          <w:rFonts w:hint="default" w:ascii="Times New Roman" w:hAnsi="Times New Roman" w:eastAsia="仿宋_GB2312" w:cs="Times New Roman"/>
          <w:b w:val="0"/>
          <w:bCs w:val="0"/>
          <w:color w:val="auto"/>
          <w:sz w:val="32"/>
          <w:szCs w:val="32"/>
        </w:rPr>
        <w:t>为上级转拨资金</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禁捕退捕项目：充分保障渔民合法权益，稳妥引导退捕渔民转产转业，让渔民退得出、稳得住、逐步能致富。</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color w:val="auto"/>
          <w:sz w:val="32"/>
          <w:szCs w:val="32"/>
          <w:lang w:val="en-US" w:eastAsia="zh-CN"/>
        </w:rPr>
        <w:t>10</w:t>
      </w:r>
      <w:bookmarkStart w:id="0" w:name="_GoBack"/>
      <w:bookmarkEnd w:id="0"/>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sz w:val="32"/>
          <w:szCs w:val="32"/>
          <w:lang w:val="en-US" w:eastAsia="zh-CN"/>
        </w:rPr>
        <w:t>2020年度新冠肺炎疫情防控工作补助</w:t>
      </w:r>
      <w:r>
        <w:rPr>
          <w:rFonts w:hint="default" w:ascii="Times New Roman" w:hAnsi="Times New Roman" w:eastAsia="仿宋_GB2312" w:cs="Times New Roman"/>
          <w:sz w:val="32"/>
          <w:szCs w:val="32"/>
          <w:lang w:val="en-US" w:eastAsia="zh-CN"/>
        </w:rPr>
        <w:t>：全力配合打好新冠肺炎疫情防控攻坚战。</w:t>
      </w:r>
    </w:p>
    <w:p>
      <w:pPr>
        <w:pStyle w:val="10"/>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七、存在的问题及原因分析</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资金支出进度分配不均匀，有待进一步加强。</w:t>
      </w:r>
    </w:p>
    <w:p>
      <w:pPr>
        <w:keepNext w:val="0"/>
        <w:keepLines w:val="0"/>
        <w:pageBreakBefore w:val="0"/>
        <w:numPr>
          <w:ilvl w:val="0"/>
          <w:numId w:val="4"/>
        </w:numP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下一步改进措施</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进一步规范我局预决算管理，加强预算绩算绩效日常监控，围绕绩效目标，适时监控绩效目标实现程度和预算执行情况，及时掌握绩效运行情况、资金支出进度等。合理安排支出项目，全面提高财政资金使用效益。</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eastAsia="仿宋_GB2312" w:cs="Times New Roman"/>
          <w:sz w:val="32"/>
          <w:szCs w:val="32"/>
          <w:lang w:eastAsia="zh-CN"/>
        </w:rPr>
      </w:pPr>
      <w:r>
        <w:rPr>
          <w:rFonts w:hint="eastAsia" w:eastAsia="仿宋_GB2312" w:cs="Times New Roman"/>
          <w:sz w:val="32"/>
          <w:szCs w:val="32"/>
          <w:lang w:eastAsia="zh-CN"/>
        </w:rPr>
        <w:t>自评结果将在芦淞区政府门户网上统一公示公开，接受社会监督。</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ascii="Times New Roman" w:hAnsi="Times New Roman" w:eastAsia="仿宋_GB2312" w:cs="Times New Roman"/>
          <w:lang w:val="en-US"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7651E4-8729-4A93-8C6E-E207BDC5E1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9CB3B5-9CC6-4963-8E3F-1C70136AEA14}"/>
  </w:font>
  <w:font w:name="方正小标宋简体">
    <w:panose1 w:val="03000509000000000000"/>
    <w:charset w:val="86"/>
    <w:family w:val="script"/>
    <w:pitch w:val="default"/>
    <w:sig w:usb0="00000001" w:usb1="080E0000" w:usb2="00000000" w:usb3="00000000" w:csb0="00040000" w:csb1="00000000"/>
    <w:embedRegular r:id="rId3" w:fontKey="{51EA5339-868A-41FC-AA1F-77BE07598B55}"/>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619FE4D1-F31E-493E-82E2-A4E03BC51A87}"/>
  </w:font>
  <w:font w:name="楷体_GB2312">
    <w:panose1 w:val="02010609030101010101"/>
    <w:charset w:val="86"/>
    <w:family w:val="modern"/>
    <w:pitch w:val="default"/>
    <w:sig w:usb0="00000001" w:usb1="080E0000" w:usb2="00000000" w:usb3="00000000" w:csb0="00040000" w:csb1="00000000"/>
    <w:embedRegular r:id="rId5" w:fontKey="{C19BFF82-6665-40F4-BE9D-072170B790D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41048"/>
    <w:multiLevelType w:val="singleLevel"/>
    <w:tmpl w:val="E4741048"/>
    <w:lvl w:ilvl="0" w:tentative="0">
      <w:start w:val="1"/>
      <w:numFmt w:val="decimal"/>
      <w:suff w:val="nothing"/>
      <w:lvlText w:val="%1、"/>
      <w:lvlJc w:val="left"/>
      <w:rPr>
        <w:rFonts w:hint="default"/>
        <w:b/>
        <w:bCs/>
        <w:color w:val="auto"/>
      </w:rPr>
    </w:lvl>
  </w:abstractNum>
  <w:abstractNum w:abstractNumId="1">
    <w:nsid w:val="300C78A6"/>
    <w:multiLevelType w:val="singleLevel"/>
    <w:tmpl w:val="300C78A6"/>
    <w:lvl w:ilvl="0" w:tentative="0">
      <w:start w:val="2"/>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4E91D29F"/>
    <w:multiLevelType w:val="singleLevel"/>
    <w:tmpl w:val="4E91D29F"/>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NjNhMjc3MzdmZjdiMzQyZTMwYWUzYzkzMjhhMjgifQ=="/>
  </w:docVars>
  <w:rsids>
    <w:rsidRoot w:val="007D0BBA"/>
    <w:rsid w:val="00004E70"/>
    <w:rsid w:val="000079DE"/>
    <w:rsid w:val="000222AC"/>
    <w:rsid w:val="00053653"/>
    <w:rsid w:val="000556F3"/>
    <w:rsid w:val="00067E87"/>
    <w:rsid w:val="00116FE5"/>
    <w:rsid w:val="00125280"/>
    <w:rsid w:val="001C32FB"/>
    <w:rsid w:val="001F74B9"/>
    <w:rsid w:val="00207FA3"/>
    <w:rsid w:val="0023079C"/>
    <w:rsid w:val="00282CD3"/>
    <w:rsid w:val="002C36F3"/>
    <w:rsid w:val="002F7FCB"/>
    <w:rsid w:val="00333711"/>
    <w:rsid w:val="00350922"/>
    <w:rsid w:val="003925F9"/>
    <w:rsid w:val="003D45AD"/>
    <w:rsid w:val="00422849"/>
    <w:rsid w:val="00440AC5"/>
    <w:rsid w:val="004D1A36"/>
    <w:rsid w:val="005516F6"/>
    <w:rsid w:val="00561054"/>
    <w:rsid w:val="00593C7D"/>
    <w:rsid w:val="005A433C"/>
    <w:rsid w:val="005B7D5D"/>
    <w:rsid w:val="005F034E"/>
    <w:rsid w:val="00622616"/>
    <w:rsid w:val="0064278F"/>
    <w:rsid w:val="00647A93"/>
    <w:rsid w:val="00652CFB"/>
    <w:rsid w:val="006B0252"/>
    <w:rsid w:val="006B17E2"/>
    <w:rsid w:val="006C0D1C"/>
    <w:rsid w:val="006E32C0"/>
    <w:rsid w:val="007009B2"/>
    <w:rsid w:val="00740BE8"/>
    <w:rsid w:val="0075446C"/>
    <w:rsid w:val="00765DC8"/>
    <w:rsid w:val="007D0BBA"/>
    <w:rsid w:val="008034D9"/>
    <w:rsid w:val="008101C7"/>
    <w:rsid w:val="0084620F"/>
    <w:rsid w:val="008A5FE8"/>
    <w:rsid w:val="008C62A7"/>
    <w:rsid w:val="00961B85"/>
    <w:rsid w:val="00970CCC"/>
    <w:rsid w:val="00974A9C"/>
    <w:rsid w:val="009A6AFF"/>
    <w:rsid w:val="009D16F2"/>
    <w:rsid w:val="009D360B"/>
    <w:rsid w:val="00A01E31"/>
    <w:rsid w:val="00A11A09"/>
    <w:rsid w:val="00A47E50"/>
    <w:rsid w:val="00A56C8A"/>
    <w:rsid w:val="00A70D00"/>
    <w:rsid w:val="00A976C8"/>
    <w:rsid w:val="00AB1275"/>
    <w:rsid w:val="00B00CD8"/>
    <w:rsid w:val="00B01CB9"/>
    <w:rsid w:val="00BA0833"/>
    <w:rsid w:val="00C252ED"/>
    <w:rsid w:val="00C5156A"/>
    <w:rsid w:val="00C54400"/>
    <w:rsid w:val="00C56388"/>
    <w:rsid w:val="00C6778E"/>
    <w:rsid w:val="00CC1A83"/>
    <w:rsid w:val="00D3173F"/>
    <w:rsid w:val="00D41845"/>
    <w:rsid w:val="00D5092F"/>
    <w:rsid w:val="00D5298A"/>
    <w:rsid w:val="00D6766A"/>
    <w:rsid w:val="00DD068A"/>
    <w:rsid w:val="00DE7FF6"/>
    <w:rsid w:val="00DF0283"/>
    <w:rsid w:val="00E37D39"/>
    <w:rsid w:val="00E55161"/>
    <w:rsid w:val="00E857E7"/>
    <w:rsid w:val="00E9714E"/>
    <w:rsid w:val="00EA6B74"/>
    <w:rsid w:val="00EB6F49"/>
    <w:rsid w:val="00ED0ECD"/>
    <w:rsid w:val="00EE7974"/>
    <w:rsid w:val="00F17872"/>
    <w:rsid w:val="00F829D5"/>
    <w:rsid w:val="00F91185"/>
    <w:rsid w:val="00FA7A97"/>
    <w:rsid w:val="00FD7CF5"/>
    <w:rsid w:val="015876FF"/>
    <w:rsid w:val="016976BE"/>
    <w:rsid w:val="01A6665B"/>
    <w:rsid w:val="01EF5276"/>
    <w:rsid w:val="024975C9"/>
    <w:rsid w:val="02665DCF"/>
    <w:rsid w:val="02A86D87"/>
    <w:rsid w:val="02AE4CCA"/>
    <w:rsid w:val="02D92DDA"/>
    <w:rsid w:val="03287320"/>
    <w:rsid w:val="03866281"/>
    <w:rsid w:val="03AE3AC0"/>
    <w:rsid w:val="03EA6449"/>
    <w:rsid w:val="03FA6217"/>
    <w:rsid w:val="046063A3"/>
    <w:rsid w:val="04747CF2"/>
    <w:rsid w:val="048E4A8E"/>
    <w:rsid w:val="04A8621F"/>
    <w:rsid w:val="052D1124"/>
    <w:rsid w:val="05841760"/>
    <w:rsid w:val="058C239E"/>
    <w:rsid w:val="05E344AF"/>
    <w:rsid w:val="06334EF1"/>
    <w:rsid w:val="06377F01"/>
    <w:rsid w:val="063A78C0"/>
    <w:rsid w:val="071E5F82"/>
    <w:rsid w:val="072B45AB"/>
    <w:rsid w:val="07BB6AF4"/>
    <w:rsid w:val="07EF4D29"/>
    <w:rsid w:val="08470747"/>
    <w:rsid w:val="084C38DA"/>
    <w:rsid w:val="0893725C"/>
    <w:rsid w:val="089572CF"/>
    <w:rsid w:val="08A00773"/>
    <w:rsid w:val="08A4283C"/>
    <w:rsid w:val="08EF0DD0"/>
    <w:rsid w:val="08F027B4"/>
    <w:rsid w:val="096B20F8"/>
    <w:rsid w:val="09783F74"/>
    <w:rsid w:val="0A146CB2"/>
    <w:rsid w:val="0A3D57A2"/>
    <w:rsid w:val="0A4370BC"/>
    <w:rsid w:val="0A4D6F7D"/>
    <w:rsid w:val="0A94795B"/>
    <w:rsid w:val="0AB4192F"/>
    <w:rsid w:val="0B1F6B23"/>
    <w:rsid w:val="0B4524E9"/>
    <w:rsid w:val="0BA804E2"/>
    <w:rsid w:val="0BB94E2C"/>
    <w:rsid w:val="0BE27487"/>
    <w:rsid w:val="0C4F7C96"/>
    <w:rsid w:val="0C596A1F"/>
    <w:rsid w:val="0C8E7A46"/>
    <w:rsid w:val="0C966F7F"/>
    <w:rsid w:val="0CCA6CB7"/>
    <w:rsid w:val="0CFF5FF0"/>
    <w:rsid w:val="0D1C42A9"/>
    <w:rsid w:val="0D366EDE"/>
    <w:rsid w:val="0D4B57FA"/>
    <w:rsid w:val="0D60161F"/>
    <w:rsid w:val="0E897C2B"/>
    <w:rsid w:val="0EC370EC"/>
    <w:rsid w:val="0ED94D9B"/>
    <w:rsid w:val="0F957EE7"/>
    <w:rsid w:val="0F9A0948"/>
    <w:rsid w:val="0FA108F2"/>
    <w:rsid w:val="0FB873C3"/>
    <w:rsid w:val="10103B3B"/>
    <w:rsid w:val="1047492D"/>
    <w:rsid w:val="10593E88"/>
    <w:rsid w:val="10C17504"/>
    <w:rsid w:val="10F06DED"/>
    <w:rsid w:val="11107299"/>
    <w:rsid w:val="111E393A"/>
    <w:rsid w:val="1134034B"/>
    <w:rsid w:val="115176A2"/>
    <w:rsid w:val="11F0700F"/>
    <w:rsid w:val="129D6027"/>
    <w:rsid w:val="13242D1C"/>
    <w:rsid w:val="135F2A51"/>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A45D53"/>
    <w:rsid w:val="19C72BF8"/>
    <w:rsid w:val="19CA553D"/>
    <w:rsid w:val="1A4E2E8E"/>
    <w:rsid w:val="1AF51455"/>
    <w:rsid w:val="1B9D302A"/>
    <w:rsid w:val="1BF446CE"/>
    <w:rsid w:val="1C704031"/>
    <w:rsid w:val="1D1D0F4A"/>
    <w:rsid w:val="1D271A66"/>
    <w:rsid w:val="1DB601DF"/>
    <w:rsid w:val="1DCB47DF"/>
    <w:rsid w:val="1E601115"/>
    <w:rsid w:val="1EB03217"/>
    <w:rsid w:val="1EC43D73"/>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685EFA"/>
    <w:rsid w:val="2AC43DDE"/>
    <w:rsid w:val="2AEF4956"/>
    <w:rsid w:val="2B1C41DD"/>
    <w:rsid w:val="2BBE35CD"/>
    <w:rsid w:val="2BD6382B"/>
    <w:rsid w:val="2C7A0558"/>
    <w:rsid w:val="2C933EBB"/>
    <w:rsid w:val="2CD65743"/>
    <w:rsid w:val="2CDF6E04"/>
    <w:rsid w:val="2D284D02"/>
    <w:rsid w:val="2D3A266F"/>
    <w:rsid w:val="2D8470B0"/>
    <w:rsid w:val="2D85399E"/>
    <w:rsid w:val="2DC65E1F"/>
    <w:rsid w:val="2DF720F5"/>
    <w:rsid w:val="2E1C0F3D"/>
    <w:rsid w:val="2E69253C"/>
    <w:rsid w:val="2EE17064"/>
    <w:rsid w:val="2EEF2198"/>
    <w:rsid w:val="2F0246FC"/>
    <w:rsid w:val="2F080155"/>
    <w:rsid w:val="302E2703"/>
    <w:rsid w:val="30343502"/>
    <w:rsid w:val="30470CFF"/>
    <w:rsid w:val="306918BE"/>
    <w:rsid w:val="30A37680"/>
    <w:rsid w:val="30C814E3"/>
    <w:rsid w:val="31AF70F0"/>
    <w:rsid w:val="32D24F00"/>
    <w:rsid w:val="32D963A9"/>
    <w:rsid w:val="32ED21B4"/>
    <w:rsid w:val="331926DE"/>
    <w:rsid w:val="35124AFB"/>
    <w:rsid w:val="35164EC9"/>
    <w:rsid w:val="35BE30B4"/>
    <w:rsid w:val="35EE1AE6"/>
    <w:rsid w:val="36216ACD"/>
    <w:rsid w:val="3693737D"/>
    <w:rsid w:val="36AD5505"/>
    <w:rsid w:val="36DB24F1"/>
    <w:rsid w:val="37904E67"/>
    <w:rsid w:val="3797204C"/>
    <w:rsid w:val="37A771FF"/>
    <w:rsid w:val="37B37AED"/>
    <w:rsid w:val="37EF7DFA"/>
    <w:rsid w:val="380A1D4B"/>
    <w:rsid w:val="38431D54"/>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8A281A"/>
    <w:rsid w:val="40CE715B"/>
    <w:rsid w:val="40D508AB"/>
    <w:rsid w:val="40E640CC"/>
    <w:rsid w:val="41D57B43"/>
    <w:rsid w:val="43141345"/>
    <w:rsid w:val="43420DA9"/>
    <w:rsid w:val="435C781C"/>
    <w:rsid w:val="437C0F5D"/>
    <w:rsid w:val="43A23DD3"/>
    <w:rsid w:val="44B87D18"/>
    <w:rsid w:val="453A160B"/>
    <w:rsid w:val="45E2026E"/>
    <w:rsid w:val="45F85A17"/>
    <w:rsid w:val="463747B7"/>
    <w:rsid w:val="47212ECA"/>
    <w:rsid w:val="47323108"/>
    <w:rsid w:val="47D51345"/>
    <w:rsid w:val="47E11557"/>
    <w:rsid w:val="48196B29"/>
    <w:rsid w:val="48684BFE"/>
    <w:rsid w:val="4885603F"/>
    <w:rsid w:val="488E3E57"/>
    <w:rsid w:val="491722FF"/>
    <w:rsid w:val="491D74A7"/>
    <w:rsid w:val="497C7C2F"/>
    <w:rsid w:val="498307B4"/>
    <w:rsid w:val="49882B9B"/>
    <w:rsid w:val="49AF4809"/>
    <w:rsid w:val="49B324BE"/>
    <w:rsid w:val="49CB1BAA"/>
    <w:rsid w:val="4A3763F6"/>
    <w:rsid w:val="4A5007FC"/>
    <w:rsid w:val="4A885383"/>
    <w:rsid w:val="4AE85958"/>
    <w:rsid w:val="4AF51ADF"/>
    <w:rsid w:val="4AFD5436"/>
    <w:rsid w:val="4B7C2BF9"/>
    <w:rsid w:val="4B920728"/>
    <w:rsid w:val="4B9357A5"/>
    <w:rsid w:val="4BC67BFF"/>
    <w:rsid w:val="4C19263D"/>
    <w:rsid w:val="4C253F32"/>
    <w:rsid w:val="4C442E20"/>
    <w:rsid w:val="4C66120C"/>
    <w:rsid w:val="4C714499"/>
    <w:rsid w:val="4C845F8F"/>
    <w:rsid w:val="4D36566E"/>
    <w:rsid w:val="4DBB24B5"/>
    <w:rsid w:val="4E03467F"/>
    <w:rsid w:val="4E6A1991"/>
    <w:rsid w:val="4EE91176"/>
    <w:rsid w:val="4EF96755"/>
    <w:rsid w:val="4EFF6E71"/>
    <w:rsid w:val="4F7317CB"/>
    <w:rsid w:val="4F7C135A"/>
    <w:rsid w:val="4FC01EDA"/>
    <w:rsid w:val="50281CF3"/>
    <w:rsid w:val="509154B6"/>
    <w:rsid w:val="50BB4683"/>
    <w:rsid w:val="50EC10F9"/>
    <w:rsid w:val="5177797E"/>
    <w:rsid w:val="52F6075F"/>
    <w:rsid w:val="53086FF5"/>
    <w:rsid w:val="531225F7"/>
    <w:rsid w:val="534D0228"/>
    <w:rsid w:val="53805DCC"/>
    <w:rsid w:val="53AB142E"/>
    <w:rsid w:val="54207C51"/>
    <w:rsid w:val="54B0031A"/>
    <w:rsid w:val="54DA727F"/>
    <w:rsid w:val="54E65F5A"/>
    <w:rsid w:val="55442D10"/>
    <w:rsid w:val="555B30CE"/>
    <w:rsid w:val="557D2E1D"/>
    <w:rsid w:val="55804F6C"/>
    <w:rsid w:val="564516B7"/>
    <w:rsid w:val="56685DC5"/>
    <w:rsid w:val="567C109E"/>
    <w:rsid w:val="567E6210"/>
    <w:rsid w:val="56933523"/>
    <w:rsid w:val="56BA55C6"/>
    <w:rsid w:val="57124CDD"/>
    <w:rsid w:val="576D1203"/>
    <w:rsid w:val="57837BDE"/>
    <w:rsid w:val="57935E95"/>
    <w:rsid w:val="57EF44C3"/>
    <w:rsid w:val="58152013"/>
    <w:rsid w:val="58CE683B"/>
    <w:rsid w:val="5902057F"/>
    <w:rsid w:val="59A40B9B"/>
    <w:rsid w:val="59C77C98"/>
    <w:rsid w:val="5A18009D"/>
    <w:rsid w:val="5A28320F"/>
    <w:rsid w:val="5A3C1A0D"/>
    <w:rsid w:val="5A6A2A29"/>
    <w:rsid w:val="5A9244F7"/>
    <w:rsid w:val="5AF97A89"/>
    <w:rsid w:val="5B352171"/>
    <w:rsid w:val="5B514882"/>
    <w:rsid w:val="5B5C757D"/>
    <w:rsid w:val="5B6B124E"/>
    <w:rsid w:val="5BEE3A27"/>
    <w:rsid w:val="5C4E1551"/>
    <w:rsid w:val="5D155819"/>
    <w:rsid w:val="5D656D7E"/>
    <w:rsid w:val="5DCE0C96"/>
    <w:rsid w:val="5DE454AE"/>
    <w:rsid w:val="5DEC70B2"/>
    <w:rsid w:val="5E14056F"/>
    <w:rsid w:val="5E1F095F"/>
    <w:rsid w:val="5E482C04"/>
    <w:rsid w:val="5E5D637B"/>
    <w:rsid w:val="5EC735B0"/>
    <w:rsid w:val="5F0F193D"/>
    <w:rsid w:val="5F2B6724"/>
    <w:rsid w:val="5F5F7CB9"/>
    <w:rsid w:val="60C055B7"/>
    <w:rsid w:val="612D4EDB"/>
    <w:rsid w:val="61F20913"/>
    <w:rsid w:val="624B0B8B"/>
    <w:rsid w:val="62923B3C"/>
    <w:rsid w:val="62C32DEC"/>
    <w:rsid w:val="630D66DA"/>
    <w:rsid w:val="639F4202"/>
    <w:rsid w:val="63A103F5"/>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066F5A"/>
    <w:rsid w:val="67303E4C"/>
    <w:rsid w:val="67347CE6"/>
    <w:rsid w:val="675A5E15"/>
    <w:rsid w:val="677549A9"/>
    <w:rsid w:val="67CC6932"/>
    <w:rsid w:val="67F2708D"/>
    <w:rsid w:val="68030691"/>
    <w:rsid w:val="684A60E1"/>
    <w:rsid w:val="689E76A5"/>
    <w:rsid w:val="68DB1AF2"/>
    <w:rsid w:val="68E0427F"/>
    <w:rsid w:val="68F75735"/>
    <w:rsid w:val="694757F4"/>
    <w:rsid w:val="6AD83BC1"/>
    <w:rsid w:val="6B3B48D5"/>
    <w:rsid w:val="6BBF4B8D"/>
    <w:rsid w:val="6C630660"/>
    <w:rsid w:val="6C6E6460"/>
    <w:rsid w:val="6C9165DC"/>
    <w:rsid w:val="6C9331C1"/>
    <w:rsid w:val="6D2E13D1"/>
    <w:rsid w:val="6D3264BE"/>
    <w:rsid w:val="6D505D9E"/>
    <w:rsid w:val="6D6D6826"/>
    <w:rsid w:val="6D9E11D0"/>
    <w:rsid w:val="6DCC19D2"/>
    <w:rsid w:val="6E224140"/>
    <w:rsid w:val="6E2E58DF"/>
    <w:rsid w:val="6E987E4E"/>
    <w:rsid w:val="6EE044A0"/>
    <w:rsid w:val="6F0F7BD0"/>
    <w:rsid w:val="6F1D59CD"/>
    <w:rsid w:val="6FE61A56"/>
    <w:rsid w:val="704C412C"/>
    <w:rsid w:val="70AD1C74"/>
    <w:rsid w:val="711C4732"/>
    <w:rsid w:val="72531446"/>
    <w:rsid w:val="72696BF8"/>
    <w:rsid w:val="72BE3FE8"/>
    <w:rsid w:val="734F28D5"/>
    <w:rsid w:val="734F3820"/>
    <w:rsid w:val="73F11B0B"/>
    <w:rsid w:val="7455119F"/>
    <w:rsid w:val="749B7B08"/>
    <w:rsid w:val="74B015AB"/>
    <w:rsid w:val="74BF00CF"/>
    <w:rsid w:val="74CF5344"/>
    <w:rsid w:val="75786376"/>
    <w:rsid w:val="75C2264E"/>
    <w:rsid w:val="75F34010"/>
    <w:rsid w:val="765D45B4"/>
    <w:rsid w:val="76735213"/>
    <w:rsid w:val="772B072A"/>
    <w:rsid w:val="778F1D5A"/>
    <w:rsid w:val="7836349E"/>
    <w:rsid w:val="78A55F95"/>
    <w:rsid w:val="794F5B82"/>
    <w:rsid w:val="79E234DF"/>
    <w:rsid w:val="79F62621"/>
    <w:rsid w:val="7A0966D2"/>
    <w:rsid w:val="7A0F2FD7"/>
    <w:rsid w:val="7A1B3CD1"/>
    <w:rsid w:val="7A5B19C4"/>
    <w:rsid w:val="7A702BF0"/>
    <w:rsid w:val="7B091C7D"/>
    <w:rsid w:val="7B533629"/>
    <w:rsid w:val="7B877F0B"/>
    <w:rsid w:val="7C511C26"/>
    <w:rsid w:val="7CA00AC6"/>
    <w:rsid w:val="7CEF5D73"/>
    <w:rsid w:val="7D00680F"/>
    <w:rsid w:val="7DED6266"/>
    <w:rsid w:val="7E1953C1"/>
    <w:rsid w:val="7E226C0D"/>
    <w:rsid w:val="7E294730"/>
    <w:rsid w:val="7E3B45BE"/>
    <w:rsid w:val="7EC4324E"/>
    <w:rsid w:val="7EF36598"/>
    <w:rsid w:val="7F3F017A"/>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jc w:val="center"/>
    </w:pPr>
    <w:rPr>
      <w:rFonts w:eastAsia="方正小标宋简体" w:cs="黑体"/>
      <w:sz w:val="36"/>
      <w:szCs w:val="22"/>
    </w:rPr>
  </w:style>
  <w:style w:type="paragraph" w:styleId="3">
    <w:name w:val="toc 5"/>
    <w:basedOn w:val="1"/>
    <w:next w:val="1"/>
    <w:qFormat/>
    <w:uiPriority w:val="99"/>
    <w:pPr>
      <w:ind w:left="1680"/>
    </w:pPr>
  </w:style>
  <w:style w:type="paragraph" w:styleId="4">
    <w:name w:val="Body Text Indent"/>
    <w:basedOn w:val="1"/>
    <w:link w:val="13"/>
    <w:qFormat/>
    <w:uiPriority w:val="0"/>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4"/>
    <w:qFormat/>
    <w:uiPriority w:val="0"/>
    <w:pPr>
      <w:spacing w:after="0" w:line="360" w:lineRule="auto"/>
      <w:ind w:left="0" w:leftChars="0" w:firstLine="420" w:firstLineChars="200"/>
    </w:pPr>
    <w:rPr>
      <w:rFonts w:ascii="方正仿宋_GBK" w:eastAsia="仿宋_GB2312"/>
      <w:sz w:val="32"/>
      <w:szCs w:val="32"/>
    </w:rPr>
  </w:style>
  <w:style w:type="paragraph" w:customStyle="1" w:styleId="10">
    <w:name w:val="List Paragraph"/>
    <w:basedOn w:val="1"/>
    <w:qFormat/>
    <w:uiPriority w:val="99"/>
    <w:pPr>
      <w:ind w:firstLine="420" w:firstLineChars="200"/>
    </w:pPr>
    <w:rPr>
      <w:rFonts w:ascii="Calibri" w:hAnsi="Calibri"/>
      <w:szCs w:val="22"/>
    </w:rPr>
  </w:style>
  <w:style w:type="character" w:customStyle="1" w:styleId="11">
    <w:name w:val="页眉 字符"/>
    <w:basedOn w:val="9"/>
    <w:link w:val="6"/>
    <w:qFormat/>
    <w:uiPriority w:val="0"/>
    <w:rPr>
      <w:rFonts w:ascii="Times New Roman" w:hAnsi="Times New Roman" w:eastAsia="宋体" w:cs="Times New Roman"/>
      <w:kern w:val="2"/>
      <w:sz w:val="18"/>
      <w:szCs w:val="18"/>
    </w:rPr>
  </w:style>
  <w:style w:type="character" w:customStyle="1" w:styleId="12">
    <w:name w:val="页脚 字符"/>
    <w:basedOn w:val="9"/>
    <w:link w:val="5"/>
    <w:qFormat/>
    <w:uiPriority w:val="0"/>
    <w:rPr>
      <w:rFonts w:ascii="Times New Roman" w:hAnsi="Times New Roman" w:eastAsia="宋体" w:cs="Times New Roman"/>
      <w:kern w:val="2"/>
      <w:sz w:val="18"/>
      <w:szCs w:val="18"/>
    </w:rPr>
  </w:style>
  <w:style w:type="character" w:customStyle="1" w:styleId="13">
    <w:name w:val="正文文本缩进 字符"/>
    <w:basedOn w:val="9"/>
    <w:link w:val="4"/>
    <w:qFormat/>
    <w:uiPriority w:val="0"/>
    <w:rPr>
      <w:rFonts w:ascii="Times New Roman" w:hAnsi="Times New Roman" w:eastAsia="宋体" w:cs="Times New Roman"/>
      <w:kern w:val="2"/>
      <w:sz w:val="21"/>
      <w:szCs w:val="24"/>
    </w:rPr>
  </w:style>
  <w:style w:type="character" w:customStyle="1" w:styleId="14">
    <w:name w:val="正文首行缩进 2 字符"/>
    <w:basedOn w:val="13"/>
    <w:link w:val="7"/>
    <w:qFormat/>
    <w:uiPriority w:val="0"/>
    <w:rPr>
      <w:rFonts w:ascii="方正仿宋_GBK" w:hAnsi="Times New Roman" w:eastAsia="仿宋_GB2312" w:cs="Times New Roman"/>
      <w:kern w:val="2"/>
      <w:sz w:val="32"/>
      <w:szCs w:val="32"/>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5157</Words>
  <Characters>5479</Characters>
  <Lines>39</Lines>
  <Paragraphs>11</Paragraphs>
  <TotalTime>8</TotalTime>
  <ScaleCrop>false</ScaleCrop>
  <LinksUpToDate>false</LinksUpToDate>
  <CharactersWithSpaces>5481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丹。</cp:lastModifiedBy>
  <dcterms:modified xsi:type="dcterms:W3CDTF">2023-11-09T01:44:20Z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