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z w:val="48"/>
          <w:szCs w:val="48"/>
        </w:rPr>
      </w:pPr>
    </w:p>
    <w:p>
      <w:pPr>
        <w:jc w:val="center"/>
        <w:rPr>
          <w:rFonts w:hint="default" w:ascii="Times New Roman" w:hAnsi="Times New Roman" w:eastAsia="方正小标宋_GBK" w:cs="Times New Roman"/>
          <w:sz w:val="48"/>
          <w:szCs w:val="48"/>
        </w:rPr>
      </w:pPr>
      <w:r>
        <w:rPr>
          <w:rFonts w:hint="default" w:ascii="Times New Roman" w:hAnsi="Times New Roman" w:eastAsia="方正小标宋_GBK" w:cs="Times New Roman"/>
          <w:sz w:val="48"/>
          <w:szCs w:val="48"/>
        </w:rPr>
        <w:t>202</w:t>
      </w:r>
      <w:r>
        <w:rPr>
          <w:rFonts w:hint="default" w:ascii="Times New Roman" w:hAnsi="Times New Roman" w:eastAsia="方正小标宋_GBK" w:cs="Times New Roman"/>
          <w:sz w:val="48"/>
          <w:szCs w:val="48"/>
          <w:lang w:val="en-US" w:eastAsia="zh-CN"/>
        </w:rPr>
        <w:t>2</w:t>
      </w:r>
      <w:r>
        <w:rPr>
          <w:rFonts w:hint="default" w:ascii="Times New Roman" w:hAnsi="Times New Roman" w:eastAsia="方正小标宋_GBK" w:cs="Times New Roman"/>
          <w:sz w:val="48"/>
          <w:szCs w:val="48"/>
        </w:rPr>
        <w:t>年度</w:t>
      </w:r>
      <w:r>
        <w:rPr>
          <w:rFonts w:hint="default" w:ascii="Times New Roman" w:hAnsi="Times New Roman" w:eastAsia="方正小标宋_GBK" w:cs="Times New Roman"/>
          <w:sz w:val="48"/>
          <w:szCs w:val="48"/>
        </w:rPr>
        <w:t>株洲市芦淞区市场监督管理局</w:t>
      </w:r>
      <w:r>
        <w:rPr>
          <w:rFonts w:hint="default" w:ascii="Times New Roman" w:hAnsi="Times New Roman" w:eastAsia="方正小标宋_GBK" w:cs="Times New Roman"/>
          <w:sz w:val="48"/>
          <w:szCs w:val="48"/>
        </w:rPr>
        <w:t>部门</w:t>
      </w:r>
      <w:r>
        <w:rPr>
          <w:rFonts w:hint="default" w:ascii="Times New Roman" w:hAnsi="Times New Roman" w:eastAsia="方正小标宋_GBK" w:cs="Times New Roman"/>
          <w:sz w:val="48"/>
          <w:szCs w:val="48"/>
        </w:rPr>
        <w:t>整体</w:t>
      </w:r>
      <w:r>
        <w:rPr>
          <w:rFonts w:hint="default" w:ascii="Times New Roman" w:hAnsi="Times New Roman" w:eastAsia="方正小标宋_GBK" w:cs="Times New Roman"/>
          <w:sz w:val="48"/>
          <w:szCs w:val="48"/>
        </w:rPr>
        <w:t>支出绩效自评报告</w:t>
      </w: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ind w:firstLine="880" w:firstLineChars="200"/>
        <w:jc w:val="center"/>
        <w:rPr>
          <w:rFonts w:hint="default" w:ascii="Times New Roman" w:hAnsi="Times New Roman" w:eastAsia="黑体" w:cs="Times New Roman"/>
          <w:sz w:val="44"/>
          <w:szCs w:val="44"/>
        </w:rPr>
      </w:pPr>
    </w:p>
    <w:p>
      <w:pPr>
        <w:ind w:firstLine="880" w:firstLineChars="200"/>
        <w:jc w:val="center"/>
        <w:rPr>
          <w:rFonts w:hint="default" w:ascii="Times New Roman" w:hAnsi="Times New Roman" w:eastAsia="黑体" w:cs="Times New Roman"/>
          <w:sz w:val="44"/>
          <w:szCs w:val="44"/>
        </w:rPr>
      </w:pPr>
    </w:p>
    <w:p>
      <w:pPr>
        <w:ind w:firstLine="880" w:firstLineChars="200"/>
        <w:jc w:val="center"/>
        <w:rPr>
          <w:rFonts w:hint="default" w:ascii="Times New Roman" w:hAnsi="Times New Roman" w:eastAsia="黑体" w:cs="Times New Roman"/>
          <w:sz w:val="44"/>
          <w:szCs w:val="44"/>
        </w:rPr>
      </w:pPr>
    </w:p>
    <w:p>
      <w:pP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单位名称（盖章）：</w:t>
      </w:r>
      <w:r>
        <w:rPr>
          <w:rFonts w:hint="default" w:ascii="Times New Roman" w:hAnsi="Times New Roman" w:eastAsia="黑体" w:cs="Times New Roman"/>
          <w:sz w:val="36"/>
          <w:szCs w:val="36"/>
        </w:rPr>
        <w:t>株洲市芦淞区市场监督管理局</w:t>
      </w:r>
    </w:p>
    <w:p>
      <w:pPr>
        <w:jc w:val="center"/>
        <w:rPr>
          <w:rFonts w:hint="default" w:ascii="Times New Roman" w:hAnsi="Times New Roman" w:eastAsia="黑体" w:cs="Times New Roman"/>
          <w:sz w:val="36"/>
          <w:szCs w:val="36"/>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br w:type="page"/>
      </w:r>
      <w:r>
        <w:rPr>
          <w:rFonts w:hint="default" w:ascii="Times New Roman" w:hAnsi="Times New Roman" w:eastAsia="黑体" w:cs="Times New Roman"/>
          <w:sz w:val="32"/>
          <w:szCs w:val="32"/>
        </w:rPr>
        <w:t>一、基本情况</w:t>
      </w:r>
    </w:p>
    <w:p>
      <w:pPr>
        <w:keepNext w:val="0"/>
        <w:keepLines w:val="0"/>
        <w:pageBreakBefore w:val="0"/>
        <w:kinsoku/>
        <w:wordWrap/>
        <w:overflowPunct/>
        <w:topLinePunct w:val="0"/>
        <w:bidi w:val="0"/>
        <w:spacing w:line="560" w:lineRule="exact"/>
        <w:ind w:left="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（一）基本情况</w:t>
      </w:r>
    </w:p>
    <w:p>
      <w:pPr>
        <w:keepNext w:val="0"/>
        <w:keepLines w:val="0"/>
        <w:pageBreakBefore w:val="0"/>
        <w:kinsoku/>
        <w:wordWrap/>
        <w:overflowPunct/>
        <w:topLinePunct w:val="0"/>
        <w:bidi w:val="0"/>
        <w:snapToGrid w:val="0"/>
        <w:spacing w:line="560" w:lineRule="exact"/>
        <w:ind w:left="0"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主要职能</w:t>
      </w:r>
    </w:p>
    <w:p>
      <w:pPr>
        <w:keepNext w:val="0"/>
        <w:keepLines w:val="0"/>
        <w:pageBreakBefore w:val="0"/>
        <w:kinsoku/>
        <w:wordWrap/>
        <w:overflowPunct/>
        <w:topLinePunct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（一）负责市场综合监督管理</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（二）负责市场主体统一登记注册和行政许可</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（三）负责监督管理市场秩序</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（四）负责宏观质量管理。（五）负责产品质量安全监督管理</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（六）负责特种设备安全监督管理</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（七）负责食品安全监督管理综合协调。（八）负责食品安全监督管理。（九）在法定权限内负责监督实施药品（含中药、民族药，下同）、医疗器械、化妆品标准和分类管理制度</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（十）负责权限内药品、医疗器械和化妆品安全监督检查</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（十一）负责药品、医疗器械、化妆品上市后风险管理，组织开展药品和化妆品不良反应、医疗器械不良事件的监测管理与风险处置工作</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（十二）负责统一管理计量工作</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（十三）负责统一管理标准化工作。依据法定职责，对标准的制定进行指导监督，对标准的实施进行监督检查，鼓励企业、社会团体和教育、科研机构等开展或参与标准化工作</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（十四）负责统一管理和监督认证认可工作</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（十五）负责知识产权保护综合协调工作</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（十六）负责组织开展有关消费维权工作，负责消费者咨询、投诉举报受理和处理等工作，保护经营者、消费者合法权益</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（十七）负责协助市市场监管局开展市场监管综合行政执法工作，依法查办辖区内市市场监管局委托的违反市场监管法律、法规、规章的相关案件</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（十八）完成区委、区人民政府及上级业务主管部门交办的其他任务。</w:t>
      </w:r>
    </w:p>
    <w:p>
      <w:pPr>
        <w:keepNext w:val="0"/>
        <w:keepLines w:val="0"/>
        <w:pageBreakBefore w:val="0"/>
        <w:kinsoku/>
        <w:wordWrap/>
        <w:overflowPunct/>
        <w:topLinePunct w:val="0"/>
        <w:bidi w:val="0"/>
        <w:snapToGrid w:val="0"/>
        <w:spacing w:line="560" w:lineRule="exact"/>
        <w:ind w:left="0"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机构情况</w:t>
      </w:r>
    </w:p>
    <w:p>
      <w:pPr>
        <w:keepNext w:val="0"/>
        <w:keepLines w:val="0"/>
        <w:pageBreakBefore w:val="0"/>
        <w:widowControl/>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color w:val="343434"/>
          <w:kern w:val="3"/>
          <w:sz w:val="32"/>
          <w:szCs w:val="32"/>
        </w:rPr>
      </w:pPr>
      <w:r>
        <w:rPr>
          <w:rFonts w:hint="default" w:ascii="Times New Roman" w:hAnsi="Times New Roman" w:eastAsia="仿宋_GB2312" w:cs="Times New Roman"/>
          <w:color w:val="343434"/>
          <w:kern w:val="3"/>
          <w:sz w:val="32"/>
          <w:szCs w:val="32"/>
        </w:rPr>
        <w:t>我局共有独立编制机构1个，其中：行政机构1个。独立核算单位1个。本年度参加决算单位1个。</w:t>
      </w:r>
    </w:p>
    <w:p>
      <w:pPr>
        <w:keepNext w:val="0"/>
        <w:keepLines w:val="0"/>
        <w:pageBreakBefore w:val="0"/>
        <w:kinsoku/>
        <w:wordWrap/>
        <w:overflowPunct/>
        <w:topLinePunct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人员情况</w:t>
      </w:r>
    </w:p>
    <w:p>
      <w:pPr>
        <w:keepNext w:val="0"/>
        <w:keepLines w:val="0"/>
        <w:pageBreakBefore w:val="0"/>
        <w:kinsoku/>
        <w:wordWrap/>
        <w:overflowPunct/>
        <w:topLinePunct w:val="0"/>
        <w:bidi w:val="0"/>
        <w:snapToGrid w:val="0"/>
        <w:spacing w:line="560" w:lineRule="exact"/>
        <w:ind w:lef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年度决算实有人数为</w:t>
      </w:r>
      <w:r>
        <w:rPr>
          <w:rFonts w:hint="default" w:ascii="Times New Roman" w:hAnsi="Times New Roman" w:eastAsia="仿宋_GB2312" w:cs="Times New Roman"/>
          <w:sz w:val="32"/>
          <w:szCs w:val="32"/>
          <w:lang w:val="en-US" w:eastAsia="zh-CN"/>
        </w:rPr>
        <w:t>96</w:t>
      </w:r>
      <w:r>
        <w:rPr>
          <w:rFonts w:hint="default" w:ascii="Times New Roman" w:hAnsi="Times New Roman" w:eastAsia="仿宋_GB2312" w:cs="Times New Roman"/>
          <w:sz w:val="32"/>
          <w:szCs w:val="32"/>
        </w:rPr>
        <w:t>人。202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年年初我局在职人数10</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人，退休</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人；202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年底在职人数</w:t>
      </w:r>
      <w:r>
        <w:rPr>
          <w:rFonts w:hint="default" w:ascii="Times New Roman" w:hAnsi="Times New Roman" w:eastAsia="仿宋_GB2312" w:cs="Times New Roman"/>
          <w:sz w:val="32"/>
          <w:szCs w:val="32"/>
          <w:lang w:val="en-US" w:eastAsia="zh-CN"/>
        </w:rPr>
        <w:t>96</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val="en-US" w:eastAsia="zh-CN"/>
        </w:rPr>
        <w:t>新进2人，</w:t>
      </w:r>
      <w:r>
        <w:rPr>
          <w:rFonts w:hint="default" w:ascii="Times New Roman" w:hAnsi="Times New Roman" w:eastAsia="仿宋_GB2312" w:cs="Times New Roman"/>
          <w:sz w:val="32"/>
          <w:szCs w:val="32"/>
        </w:rPr>
        <w:t>退休</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人，调出</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val="en-US" w:eastAsia="zh-CN"/>
        </w:rPr>
        <w:t>辞职1人，开除1人</w:t>
      </w:r>
      <w:r>
        <w:rPr>
          <w:rFonts w:hint="default" w:ascii="Times New Roman" w:hAnsi="Times New Roman" w:eastAsia="仿宋_GB2312" w:cs="Times New Roman"/>
          <w:sz w:val="32"/>
          <w:szCs w:val="32"/>
        </w:rPr>
        <w:t>。</w:t>
      </w:r>
    </w:p>
    <w:p>
      <w:pPr>
        <w:keepNext w:val="0"/>
        <w:keepLines w:val="0"/>
        <w:pageBreakBefore w:val="0"/>
        <w:numPr>
          <w:ilvl w:val="0"/>
          <w:numId w:val="1"/>
        </w:numPr>
        <w:kinsoku/>
        <w:wordWrap/>
        <w:overflowPunct/>
        <w:topLinePunct w:val="0"/>
        <w:bidi w:val="0"/>
        <w:spacing w:line="560" w:lineRule="exact"/>
        <w:ind w:left="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绩效目标</w:t>
      </w:r>
    </w:p>
    <w:p>
      <w:pPr>
        <w:keepNext w:val="0"/>
        <w:keepLines w:val="0"/>
        <w:pageBreakBefore w:val="0"/>
        <w:numPr>
          <w:numId w:val="0"/>
        </w:numPr>
        <w:kinsoku/>
        <w:wordWrap/>
        <w:overflowPunct/>
        <w:topLinePunct w:val="0"/>
        <w:bidi w:val="0"/>
        <w:snapToGrid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本单位</w:t>
      </w:r>
      <w:r>
        <w:rPr>
          <w:rFonts w:hint="default" w:ascii="Times New Roman" w:hAnsi="Times New Roman" w:eastAsia="仿宋_GB2312" w:cs="Times New Roman"/>
          <w:sz w:val="32"/>
          <w:szCs w:val="32"/>
        </w:rPr>
        <w:t>年度整体支出</w:t>
      </w:r>
      <w:r>
        <w:rPr>
          <w:rFonts w:hint="default" w:ascii="Times New Roman" w:hAnsi="Times New Roman" w:eastAsia="仿宋_GB2312" w:cs="Times New Roman"/>
          <w:sz w:val="32"/>
          <w:szCs w:val="32"/>
          <w:lang w:eastAsia="zh-CN"/>
        </w:rPr>
        <w:t>绩效目标为</w:t>
      </w:r>
      <w:r>
        <w:rPr>
          <w:rFonts w:hint="default" w:ascii="Times New Roman" w:hAnsi="Times New Roman" w:eastAsia="仿宋_GB2312" w:cs="Times New Roman"/>
          <w:sz w:val="32"/>
          <w:szCs w:val="32"/>
          <w:lang w:val="en-US" w:eastAsia="zh-CN"/>
        </w:rPr>
        <w:t>开展</w:t>
      </w:r>
      <w:r>
        <w:rPr>
          <w:rFonts w:hint="default" w:ascii="Times New Roman" w:hAnsi="Times New Roman" w:eastAsia="仿宋_GB2312" w:cs="Times New Roman"/>
          <w:sz w:val="32"/>
          <w:szCs w:val="32"/>
          <w:lang w:eastAsia="zh-CN"/>
        </w:rPr>
        <w:t>市场综合监督管理工作、市场主体统一登记注册和行政许可工作，负责特种设备安全监督管理、综合协调食品安全监督管理、组织开展药品和化妆品不良反应、医疗器械不良事件的监测管理与风险处置工作、综合协调知识产权保护工作、组织开展有关消费维权工作，保护经营者、消费者合法权益。</w:t>
      </w:r>
      <w:bookmarkStart w:id="0" w:name="_GoBack"/>
      <w:bookmarkEnd w:id="0"/>
    </w:p>
    <w:p>
      <w:pPr>
        <w:keepNext w:val="0"/>
        <w:keepLines w:val="0"/>
        <w:pageBreakBefore w:val="0"/>
        <w:numPr>
          <w:numId w:val="0"/>
        </w:numPr>
        <w:kinsoku/>
        <w:wordWrap/>
        <w:overflowPunct/>
        <w:topLinePunct w:val="0"/>
        <w:bidi w:val="0"/>
        <w:snapToGrid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本单位</w:t>
      </w:r>
      <w:r>
        <w:rPr>
          <w:rFonts w:hint="default" w:ascii="Times New Roman" w:hAnsi="Times New Roman" w:eastAsia="仿宋_GB2312" w:cs="Times New Roman"/>
          <w:color w:val="000000" w:themeColor="text1"/>
          <w:sz w:val="32"/>
          <w:szCs w:val="32"/>
          <w14:textFill>
            <w14:solidFill>
              <w14:schemeClr w14:val="tx1"/>
            </w14:solidFill>
          </w14:textFill>
        </w:rPr>
        <w:t>专项资金绩效目标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为保障芦淞区市场监督管理局院外独立办公场地的正常办公开支。优化营商环境；净化市场环境；保障市场安全；推动产业发展。负责食品安全监督管理综合协调、食品安全监督管理；组织开展本级食品安全抽样检验工作；负责权限内药品、医疗器械和化妆品安全监督检查。</w:t>
      </w:r>
    </w:p>
    <w:p>
      <w:pPr>
        <w:pStyle w:val="5"/>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5"/>
        <w:keepNext w:val="0"/>
        <w:keepLines w:val="0"/>
        <w:pageBreakBefore w:val="0"/>
        <w:kinsoku/>
        <w:wordWrap/>
        <w:overflowPunct/>
        <w:topLinePunct w:val="0"/>
        <w:bidi w:val="0"/>
        <w:spacing w:line="560" w:lineRule="exact"/>
        <w:ind w:left="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pStyle w:val="6"/>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1.2022年预算资金。</w:t>
      </w:r>
    </w:p>
    <w:p>
      <w:pPr>
        <w:pStyle w:val="5"/>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我单位2022年收入预算为2136.56万元，支出预算数为2136.56。年度执行中收入预算调整数为2176.67万元，支出预算调整数为2176.67万元。</w:t>
      </w:r>
    </w:p>
    <w:p>
      <w:pPr>
        <w:pStyle w:val="5"/>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2.2022年度单位一般公共预算财政拨款收入2176.67万元。</w:t>
      </w:r>
    </w:p>
    <w:p>
      <w:pPr>
        <w:pStyle w:val="5"/>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3.2022年度单位一般公共预算财政拨款支出2176.67万元。其中：项目支出582.02万元，基本支出1594.65万元，其中：人员经费1356.63万元，公用经费238.02万元。</w:t>
      </w:r>
    </w:p>
    <w:p>
      <w:pPr>
        <w:pStyle w:val="5"/>
        <w:keepNext w:val="0"/>
        <w:keepLines w:val="0"/>
        <w:pageBreakBefore w:val="0"/>
        <w:kinsoku/>
        <w:wordWrap/>
        <w:overflowPunct/>
        <w:topLinePunct w:val="0"/>
        <w:bidi w:val="0"/>
        <w:spacing w:line="560" w:lineRule="exact"/>
        <w:ind w:left="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lang w:eastAsia="zh-CN"/>
        </w:rPr>
        <w:t>（二）</w:t>
      </w:r>
      <w:r>
        <w:rPr>
          <w:rFonts w:hint="default" w:ascii="Times New Roman" w:hAnsi="Times New Roman" w:eastAsia="楷体_GB2312" w:cs="Times New Roman"/>
          <w:b/>
          <w:sz w:val="32"/>
          <w:szCs w:val="32"/>
        </w:rPr>
        <w:t>项目支出情况</w:t>
      </w:r>
    </w:p>
    <w:p>
      <w:pPr>
        <w:pStyle w:val="5"/>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其他政府办公厅（室）及相关机构事务支出项目支出</w:t>
      </w:r>
      <w:r>
        <w:rPr>
          <w:rFonts w:hint="default" w:ascii="Times New Roman" w:hAnsi="Times New Roman" w:eastAsia="仿宋_GB2312" w:cs="Times New Roman"/>
          <w:kern w:val="2"/>
          <w:sz w:val="32"/>
          <w:szCs w:val="32"/>
          <w:lang w:val="en-US" w:eastAsia="zh-CN" w:bidi="ar-SA"/>
        </w:rPr>
        <w:t>0.85</w:t>
      </w:r>
      <w:r>
        <w:rPr>
          <w:rFonts w:hint="default" w:ascii="Times New Roman" w:hAnsi="Times New Roman" w:eastAsia="仿宋" w:cs="Times New Roman"/>
          <w:sz w:val="32"/>
          <w:szCs w:val="32"/>
        </w:rPr>
        <w:t>万元；</w:t>
      </w:r>
    </w:p>
    <w:p>
      <w:pPr>
        <w:pStyle w:val="5"/>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2.一般行政管理事务项目支出31.12万元；</w:t>
      </w:r>
    </w:p>
    <w:p>
      <w:pPr>
        <w:pStyle w:val="5"/>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3.机关服务项目支出32.34万元；</w:t>
      </w:r>
    </w:p>
    <w:p>
      <w:pPr>
        <w:pStyle w:val="5"/>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4.市场主体管理项目支出97.86万元；</w:t>
      </w:r>
    </w:p>
    <w:p>
      <w:pPr>
        <w:pStyle w:val="5"/>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5.药品事务项目支出2.5万元；</w:t>
      </w:r>
    </w:p>
    <w:p>
      <w:pPr>
        <w:pStyle w:val="5"/>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6.食品安全监管项目支出134.87万元；</w:t>
      </w:r>
    </w:p>
    <w:p>
      <w:pPr>
        <w:pStyle w:val="5"/>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7.其他市场监督管理事务项目支出282.48万元。</w:t>
      </w:r>
    </w:p>
    <w:p>
      <w:pPr>
        <w:pStyle w:val="5"/>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rPr>
        <w:t>无</w:t>
      </w:r>
      <w:r>
        <w:rPr>
          <w:rFonts w:hint="default" w:ascii="Times New Roman" w:hAnsi="Times New Roman" w:eastAsia="黑体" w:cs="Times New Roman"/>
          <w:sz w:val="32"/>
          <w:szCs w:val="32"/>
        </w:rPr>
        <w:t>政府性基金预算支出</w:t>
      </w:r>
      <w:r>
        <w:rPr>
          <w:rFonts w:hint="default" w:ascii="Times New Roman" w:hAnsi="Times New Roman" w:eastAsia="黑体" w:cs="Times New Roman"/>
          <w:sz w:val="32"/>
          <w:szCs w:val="32"/>
        </w:rPr>
        <w:t>。</w:t>
      </w:r>
    </w:p>
    <w:p>
      <w:pPr>
        <w:pStyle w:val="5"/>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无。</w:t>
      </w:r>
    </w:p>
    <w:p>
      <w:pPr>
        <w:pStyle w:val="5"/>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rPr>
        <w:t>无</w:t>
      </w:r>
      <w:r>
        <w:rPr>
          <w:rFonts w:hint="default" w:ascii="Times New Roman" w:hAnsi="Times New Roman" w:eastAsia="黑体" w:cs="Times New Roman"/>
          <w:sz w:val="32"/>
          <w:szCs w:val="32"/>
        </w:rPr>
        <w:t>国有资本经营预算支出</w:t>
      </w:r>
      <w:r>
        <w:rPr>
          <w:rFonts w:hint="default" w:ascii="Times New Roman" w:hAnsi="Times New Roman" w:eastAsia="黑体" w:cs="Times New Roman"/>
          <w:sz w:val="32"/>
          <w:szCs w:val="32"/>
        </w:rPr>
        <w:t>。</w:t>
      </w:r>
    </w:p>
    <w:p>
      <w:pPr>
        <w:pStyle w:val="5"/>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无。</w:t>
      </w:r>
    </w:p>
    <w:p>
      <w:pPr>
        <w:pStyle w:val="5"/>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w:t>
      </w:r>
      <w:r>
        <w:rPr>
          <w:rFonts w:hint="default" w:ascii="Times New Roman" w:hAnsi="Times New Roman" w:eastAsia="黑体" w:cs="Times New Roman"/>
          <w:sz w:val="32"/>
          <w:szCs w:val="32"/>
        </w:rPr>
        <w:t>无</w:t>
      </w:r>
      <w:r>
        <w:rPr>
          <w:rFonts w:hint="default" w:ascii="Times New Roman" w:hAnsi="Times New Roman" w:eastAsia="黑体" w:cs="Times New Roman"/>
          <w:sz w:val="32"/>
          <w:szCs w:val="32"/>
        </w:rPr>
        <w:t>社会保险基金预算支出</w:t>
      </w:r>
      <w:r>
        <w:rPr>
          <w:rFonts w:hint="default" w:ascii="Times New Roman" w:hAnsi="Times New Roman" w:eastAsia="黑体" w:cs="Times New Roman"/>
          <w:sz w:val="32"/>
          <w:szCs w:val="32"/>
        </w:rPr>
        <w:t>。</w:t>
      </w:r>
    </w:p>
    <w:p>
      <w:pPr>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无。</w:t>
      </w:r>
    </w:p>
    <w:p>
      <w:pPr>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w:t>
      </w:r>
      <w:r>
        <w:rPr>
          <w:rFonts w:hint="default" w:ascii="Times New Roman" w:hAnsi="Times New Roman" w:eastAsia="黑体" w:cs="Times New Roman"/>
          <w:sz w:val="32"/>
          <w:szCs w:val="32"/>
        </w:rPr>
        <w:t>资金使用及</w:t>
      </w:r>
      <w:r>
        <w:rPr>
          <w:rFonts w:hint="default" w:ascii="Times New Roman" w:hAnsi="Times New Roman" w:eastAsia="黑体" w:cs="Times New Roman"/>
          <w:sz w:val="32"/>
          <w:szCs w:val="32"/>
        </w:rPr>
        <w:t>绩效情况</w:t>
      </w:r>
    </w:p>
    <w:p>
      <w:pPr>
        <w:keepNext w:val="0"/>
        <w:keepLines w:val="0"/>
        <w:pageBreakBefore w:val="0"/>
        <w:kinsoku/>
        <w:wordWrap/>
        <w:overflowPunct/>
        <w:topLinePunct w:val="0"/>
        <w:bidi w:val="0"/>
        <w:spacing w:line="560" w:lineRule="exact"/>
        <w:ind w:left="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(一）部门整体支出绩效情况</w:t>
      </w:r>
    </w:p>
    <w:p>
      <w:pPr>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本单位“四本预算”支出的绩效目标完成情况较为理想，达到了年初设定的各项绩效目标。以市场综合监督管理、市场主体统一登记注册和行政许可、产品质量安全监督管理、特种设备安全监督管理、食品药品安全监督管理、知识产权保护综合协调、消费者维权等部门职责为出发点，以严格按制度执行预算资金管理为主线开展业务，实现了如下效果：</w:t>
      </w:r>
    </w:p>
    <w:p>
      <w:pPr>
        <w:pStyle w:val="5"/>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1.运行成本。2022年度单位一般公共预算财政拨款支出2176.67万元。其中：项目支出582.02万元，基本支出1594.65万元，其中：人员经费1356.63万元，公用经费238.02万元保证了人员的基本支出及办理业务所需的必备开支。</w:t>
      </w:r>
    </w:p>
    <w:p>
      <w:pPr>
        <w:keepNext w:val="0"/>
        <w:keepLines w:val="0"/>
        <w:pageBreakBefore w:val="0"/>
        <w:numPr>
          <w:ilvl w:val="0"/>
          <w:numId w:val="0"/>
        </w:numPr>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2.管理效率。所有资金使用严格按审批程序办理、操作规范，会计核算结果真实、准确，各项支出严格按照各项制度执行。</w:t>
      </w:r>
    </w:p>
    <w:p>
      <w:pPr>
        <w:keepNext w:val="0"/>
        <w:keepLines w:val="0"/>
        <w:pageBreakBefore w:val="0"/>
        <w:numPr>
          <w:ilvl w:val="0"/>
          <w:numId w:val="0"/>
        </w:numPr>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履职效能。全程电子化登记设立比例≧90%，宣传工作完成率100%，广告违法率逐步降低，知识产权案件办结率100%，检测不合格食用农产品处理率100%，违法行为查处率100%，食品流通行业人员培训覆盖率100%，宣传、培训完成率100%，组织开展食品安全及药品零售企业监管检查≥80%，。</w:t>
      </w:r>
    </w:p>
    <w:p>
      <w:pPr>
        <w:keepNext w:val="0"/>
        <w:keepLines w:val="0"/>
        <w:pageBreakBefore w:val="0"/>
        <w:numPr>
          <w:ilvl w:val="0"/>
          <w:numId w:val="0"/>
        </w:numPr>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4.社会效应。营造了宽松的市场准入环境，构建了群众、企业等市场主体懂法、守法的良好市场秩序，重特大食品安全事故0起，构建食品安全的消费环境，食用农产品质量安全水平稳步提升。</w:t>
      </w:r>
    </w:p>
    <w:p>
      <w:pPr>
        <w:keepNext w:val="0"/>
        <w:keepLines w:val="0"/>
        <w:pageBreakBefore w:val="0"/>
        <w:numPr>
          <w:ilvl w:val="0"/>
          <w:numId w:val="0"/>
        </w:numPr>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5.可持续发展能力。本单位职能平稳有序运行，更好的履行市场监管职责。</w:t>
      </w:r>
    </w:p>
    <w:p>
      <w:pPr>
        <w:keepNext w:val="0"/>
        <w:keepLines w:val="0"/>
        <w:pageBreakBefore w:val="0"/>
        <w:numPr>
          <w:ilvl w:val="0"/>
          <w:numId w:val="0"/>
        </w:numPr>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6.服务对象满意度。公众满意度达到85%以上。企业满意率90%，公众的消费安全感≥85%。</w:t>
      </w:r>
    </w:p>
    <w:p>
      <w:pPr>
        <w:keepNext w:val="0"/>
        <w:keepLines w:val="0"/>
        <w:pageBreakBefore w:val="0"/>
        <w:numPr>
          <w:ilvl w:val="0"/>
          <w:numId w:val="0"/>
        </w:numPr>
        <w:kinsoku/>
        <w:wordWrap/>
        <w:overflowPunct/>
        <w:topLinePunct w:val="0"/>
        <w:bidi w:val="0"/>
        <w:spacing w:line="560" w:lineRule="exact"/>
        <w:ind w:left="0" w:leftChars="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（二）专项资金支出绩效情况</w:t>
      </w:r>
    </w:p>
    <w:p>
      <w:pPr>
        <w:pStyle w:val="5"/>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1.其他政府办公厅（室）及相关机构事务支出项目支出0.85万元，资金主要用于依法查办辖区内市市场监管局委托的违反市场监管法律、法规、规章的相关案件，本项目的开展维护了公平有效的市场秩序。</w:t>
      </w:r>
    </w:p>
    <w:p>
      <w:pPr>
        <w:pStyle w:val="5"/>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2.一般行政管理事务</w:t>
      </w:r>
      <w:r>
        <w:rPr>
          <w:rFonts w:hint="default" w:ascii="Times New Roman" w:hAnsi="Times New Roman" w:eastAsia="仿宋" w:cs="Times New Roman"/>
          <w:sz w:val="32"/>
          <w:szCs w:val="32"/>
        </w:rPr>
        <w:t>项目支出</w:t>
      </w:r>
      <w:r>
        <w:rPr>
          <w:rFonts w:hint="default" w:ascii="Times New Roman" w:hAnsi="Times New Roman" w:eastAsia="仿宋_GB2312" w:cs="Times New Roman"/>
          <w:kern w:val="2"/>
          <w:sz w:val="32"/>
          <w:szCs w:val="32"/>
          <w:lang w:val="en-US" w:eastAsia="zh-CN" w:bidi="ar-SA"/>
        </w:rPr>
        <w:t>31.12</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资金主要用于院外办公场地运行维护费支出</w:t>
      </w:r>
      <w:r>
        <w:rPr>
          <w:rFonts w:hint="default" w:ascii="Times New Roman" w:hAnsi="Times New Roman" w:eastAsia="仿宋_GB2312" w:cs="Times New Roman"/>
          <w:kern w:val="2"/>
          <w:sz w:val="32"/>
          <w:szCs w:val="32"/>
          <w:lang w:val="en-US" w:eastAsia="zh-CN" w:bidi="ar-SA"/>
        </w:rPr>
        <w:t>30万</w:t>
      </w:r>
      <w:r>
        <w:rPr>
          <w:rFonts w:hint="default" w:ascii="Times New Roman" w:hAnsi="Times New Roman" w:eastAsia="仿宋" w:cs="Times New Roman"/>
          <w:sz w:val="32"/>
          <w:szCs w:val="32"/>
          <w:lang w:val="en-US" w:eastAsia="zh-CN"/>
        </w:rPr>
        <w:t>元及发放信访及纪检监察岗位津贴</w:t>
      </w:r>
      <w:r>
        <w:rPr>
          <w:rFonts w:hint="default" w:ascii="Times New Roman" w:hAnsi="Times New Roman" w:eastAsia="仿宋_GB2312" w:cs="Times New Roman"/>
          <w:kern w:val="2"/>
          <w:sz w:val="32"/>
          <w:szCs w:val="32"/>
          <w:lang w:val="en-US" w:eastAsia="zh-CN" w:bidi="ar-SA"/>
        </w:rPr>
        <w:t>1.12</w:t>
      </w:r>
      <w:r>
        <w:rPr>
          <w:rFonts w:hint="default" w:ascii="Times New Roman" w:hAnsi="Times New Roman" w:eastAsia="仿宋" w:cs="Times New Roman"/>
          <w:sz w:val="32"/>
          <w:szCs w:val="32"/>
          <w:lang w:val="en-US" w:eastAsia="zh-CN"/>
        </w:rPr>
        <w:t>万元。</w:t>
      </w:r>
    </w:p>
    <w:p>
      <w:pPr>
        <w:pStyle w:val="5"/>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3.机关服务项目支出32.34万元，</w:t>
      </w:r>
      <w:r>
        <w:rPr>
          <w:rFonts w:hint="default" w:ascii="Times New Roman" w:hAnsi="Times New Roman" w:eastAsia="仿宋" w:cs="Times New Roman"/>
          <w:sz w:val="32"/>
          <w:szCs w:val="32"/>
          <w:lang w:val="en-US" w:eastAsia="zh-CN"/>
        </w:rPr>
        <w:t>资金主要用于</w:t>
      </w:r>
      <w:r>
        <w:rPr>
          <w:rFonts w:hint="default" w:ascii="Times New Roman" w:hAnsi="Times New Roman" w:eastAsia="仿宋_GB2312" w:cs="Times New Roman"/>
          <w:kern w:val="2"/>
          <w:sz w:val="32"/>
          <w:szCs w:val="32"/>
          <w:lang w:val="en-US" w:eastAsia="zh-CN" w:bidi="ar-SA"/>
        </w:rPr>
        <w:t>院外办公场地运行维护费支出。</w:t>
      </w:r>
    </w:p>
    <w:p>
      <w:pPr>
        <w:pStyle w:val="5"/>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市场主体管理项目支出97.86万元，资金主要用于行政登记、审批支出，企业信用监管工作支出，业务系统维护支出，消费者权益保护支出，商品与网络交易监管及广告监测专项支出，特种设备安全监管支出，日常监管与执法支出。市场交易秩序得到了长期维护，本单位市场监管能力与水平持续提升。</w:t>
      </w:r>
    </w:p>
    <w:p>
      <w:pPr>
        <w:pStyle w:val="5"/>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5.药品事务项目支出2.5万元，资金主要用于对权限内药品、医疗器械和化妆品安全进行培训及监管，项目的开展保证了药品安全保障水平不断提升。</w:t>
      </w:r>
    </w:p>
    <w:p>
      <w:pPr>
        <w:pStyle w:val="5"/>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6.食品安全监管项目支出134.87万元，资金主要用于食品相关证照的办理支出，支付食品抽检费用，开展食品相关知识培训，印制法律法规及相关宣传资料等。提高了生产经营者的法律意识，营造了安全的食品生产环境，构建了食品安全的消费环境。</w:t>
      </w:r>
    </w:p>
    <w:p>
      <w:pPr>
        <w:pStyle w:val="5"/>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7.其他市场监督管理事务项目支出282.48万元，资金主要用于保障芦淞区市场监督管理局院外独立办公场地的正常办公开支，资金主要用于支付劳务派遣人员劳务费；支付职工用餐费用；支付办公场所水、电、气、邮电费、物业管理费及房屋维修维护费。确保了院外办公场地的正常运行。</w:t>
      </w:r>
    </w:p>
    <w:p>
      <w:pPr>
        <w:pStyle w:val="5"/>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pStyle w:val="6"/>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 w:cs="Times New Roman"/>
          <w:sz w:val="32"/>
          <w:szCs w:val="32"/>
          <w:lang w:val="en-US" w:eastAsia="zh-CN"/>
        </w:rPr>
        <w:t>一般行政管理事务</w:t>
      </w:r>
      <w:r>
        <w:rPr>
          <w:rFonts w:hint="default" w:ascii="Times New Roman" w:hAnsi="Times New Roman" w:eastAsia="仿宋" w:cs="Times New Roman"/>
          <w:sz w:val="32"/>
          <w:szCs w:val="32"/>
        </w:rPr>
        <w:t>项目支出</w:t>
      </w:r>
      <w:r>
        <w:rPr>
          <w:rFonts w:hint="default" w:ascii="Times New Roman" w:hAnsi="Times New Roman" w:eastAsia="仿宋_GB2312" w:cs="Times New Roman"/>
          <w:color w:val="auto"/>
          <w:kern w:val="2"/>
          <w:sz w:val="32"/>
          <w:szCs w:val="32"/>
          <w:lang w:val="en-US" w:eastAsia="zh-CN" w:bidi="ar-SA"/>
        </w:rPr>
        <w:t>年初预算为1.12万元，支出决算为31.12万元，</w:t>
      </w:r>
      <w:r>
        <w:rPr>
          <w:rFonts w:hint="default" w:ascii="Times New Roman" w:hAnsi="Times New Roman" w:eastAsia="仿宋_GB2312" w:cs="Times New Roman"/>
          <w:sz w:val="32"/>
          <w:szCs w:val="32"/>
        </w:rPr>
        <w:t>完成年初预算的</w:t>
      </w:r>
      <w:r>
        <w:rPr>
          <w:rFonts w:hint="default" w:ascii="Times New Roman" w:hAnsi="Times New Roman" w:eastAsia="仿宋_GB2312" w:cs="Times New Roman"/>
          <w:sz w:val="32"/>
          <w:szCs w:val="32"/>
          <w:lang w:val="en-US" w:eastAsia="zh-CN"/>
        </w:rPr>
        <w:t>2778.57</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kern w:val="2"/>
          <w:sz w:val="32"/>
          <w:szCs w:val="32"/>
          <w:lang w:val="en-US" w:eastAsia="zh-CN" w:bidi="ar-SA"/>
        </w:rPr>
        <w:t>预算支出执行偏离绩效目标的主要原因是</w:t>
      </w:r>
      <w:r>
        <w:rPr>
          <w:rFonts w:hint="default" w:ascii="Times New Roman" w:hAnsi="Times New Roman" w:eastAsia="仿宋_GB2312" w:cs="Times New Roman"/>
          <w:sz w:val="32"/>
          <w:szCs w:val="32"/>
          <w:lang w:val="en-US" w:eastAsia="zh-CN"/>
        </w:rPr>
        <w:t>原年初预算与财政下达指标口径的调整，导致支出决算数大于年初预算数。</w:t>
      </w:r>
    </w:p>
    <w:p>
      <w:pPr>
        <w:pStyle w:val="6"/>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sz w:val="32"/>
          <w:szCs w:val="32"/>
          <w:lang w:val="en-US" w:eastAsia="zh-CN"/>
        </w:rPr>
        <w:t>市场主体管理项目支出</w:t>
      </w:r>
      <w:r>
        <w:rPr>
          <w:rFonts w:hint="default"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US" w:eastAsia="zh-CN"/>
        </w:rPr>
        <w:t>144</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97.86</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67.96</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kern w:val="2"/>
          <w:sz w:val="32"/>
          <w:szCs w:val="32"/>
          <w:lang w:val="en-US" w:eastAsia="zh-CN" w:bidi="ar-SA"/>
        </w:rPr>
        <w:t>预算支出执行偏离绩效目标的主要原因是</w:t>
      </w:r>
      <w:r>
        <w:rPr>
          <w:rFonts w:hint="default" w:ascii="Times New Roman" w:hAnsi="Times New Roman" w:eastAsia="仿宋_GB2312" w:cs="Times New Roman"/>
          <w:sz w:val="32"/>
          <w:szCs w:val="32"/>
          <w:lang w:val="en-US" w:eastAsia="zh-CN"/>
        </w:rPr>
        <w:t>由于财政资金紧张，导致本年度部分支出未予支付，支出决算数小于预算数。</w:t>
      </w:r>
    </w:p>
    <w:p>
      <w:pPr>
        <w:pStyle w:val="6"/>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3.药品事务项目支出</w:t>
      </w:r>
      <w:r>
        <w:rPr>
          <w:rFonts w:hint="default" w:ascii="Times New Roman" w:hAnsi="Times New Roman" w:eastAsia="仿宋_GB2312" w:cs="Times New Roman"/>
          <w:sz w:val="32"/>
          <w:szCs w:val="32"/>
        </w:rPr>
        <w:t>年初预算为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由于预算数为零，无法计算百分比，</w:t>
      </w:r>
      <w:r>
        <w:rPr>
          <w:rFonts w:hint="default" w:ascii="Times New Roman" w:hAnsi="Times New Roman" w:eastAsia="仿宋_GB2312" w:cs="Times New Roman"/>
          <w:color w:val="auto"/>
          <w:kern w:val="2"/>
          <w:sz w:val="32"/>
          <w:szCs w:val="32"/>
          <w:lang w:val="en-US" w:eastAsia="zh-CN" w:bidi="ar-SA"/>
        </w:rPr>
        <w:t>预算支出执行偏离绩效目标的主要原因是</w:t>
      </w:r>
      <w:r>
        <w:rPr>
          <w:rFonts w:hint="default" w:ascii="Times New Roman" w:hAnsi="Times New Roman" w:eastAsia="仿宋_GB2312" w:cs="Times New Roman"/>
          <w:sz w:val="32"/>
          <w:szCs w:val="32"/>
          <w:lang w:eastAsia="zh-CN"/>
        </w:rPr>
        <w:t>追加了</w:t>
      </w:r>
      <w:r>
        <w:rPr>
          <w:rFonts w:hint="default" w:ascii="Times New Roman" w:hAnsi="Times New Roman" w:eastAsia="仿宋_GB2312" w:cs="Times New Roman"/>
          <w:sz w:val="32"/>
          <w:szCs w:val="32"/>
          <w:lang w:val="en-US" w:eastAsia="zh-CN"/>
        </w:rPr>
        <w:t>中央药品监管补助资金</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八、下一步改进措施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firstLineChars="200"/>
        <w:jc w:val="both"/>
        <w:textAlignment w:val="auto"/>
        <w:rPr>
          <w:rFonts w:hint="default" w:ascii="Times New Roman" w:hAnsi="Times New Roman" w:cs="Times New Roman"/>
          <w:i w:val="0"/>
          <w:iCs w:val="0"/>
          <w:caps w:val="0"/>
          <w:color w:val="333333"/>
          <w:spacing w:val="0"/>
          <w:sz w:val="21"/>
          <w:szCs w:val="21"/>
        </w:rPr>
      </w:pPr>
      <w:r>
        <w:rPr>
          <w:rFonts w:hint="default" w:ascii="Times New Roman" w:hAnsi="Times New Roman" w:eastAsia="仿宋_GB2312" w:cs="Times New Roman"/>
          <w:kern w:val="2"/>
          <w:sz w:val="32"/>
          <w:szCs w:val="32"/>
          <w:lang w:val="en-US" w:eastAsia="zh-CN" w:bidi="ar-SA"/>
        </w:rPr>
        <w:t> 1.科学合理编制预算，严格执行预算。进一步提高预算编制到位率，做准做全基本支出预算，做全项目支出预算，加强预算支出的审核、跟踪及预算执行情况分析，提高预算编制严谨性和可控性。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2.进一步加强项目资金管理。严格实行项目管理程序化，实现项目申报、实施、拨付、评价全流程监督与控制，规范专项资金管理，提高专项资金的使用效益。</w:t>
      </w:r>
    </w:p>
    <w:p>
      <w:pPr>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九、绩效自评结果拟应用和公开情况</w:t>
      </w:r>
    </w:p>
    <w:p>
      <w:pPr>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并把自评结果应用作为全过程预算绩效管理落脚点，及时整理、归纳、分析、反馈绩效自评结果，并将其作为改进预算管理和以后年度预算安排的重要依据。 本单位无独立网站，自评结果将与2022年决算一起，在芦淞区政府官网上进行公开，接受社会监督。</w:t>
      </w:r>
    </w:p>
    <w:p>
      <w:pPr>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w:t>
      </w:r>
      <w:r>
        <w:rPr>
          <w:rFonts w:hint="default" w:ascii="Times New Roman" w:hAnsi="Times New Roman" w:eastAsia="黑体" w:cs="Times New Roman"/>
          <w:sz w:val="32"/>
          <w:szCs w:val="32"/>
        </w:rPr>
        <w:t>其他需要说明的情况</w:t>
      </w:r>
    </w:p>
    <w:p>
      <w:pPr>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kern w:val="2"/>
          <w:sz w:val="32"/>
          <w:szCs w:val="32"/>
          <w:lang w:val="en-US" w:eastAsia="zh-CN" w:bidi="ar-SA"/>
        </w:rPr>
        <w:t>无。</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B9A674"/>
    <w:multiLevelType w:val="singleLevel"/>
    <w:tmpl w:val="B1B9A67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NDM2YzFhNTM4Yzc0NTI3Y2ZhMzE4MGI4MzVjNmMifQ=="/>
  </w:docVars>
  <w:rsids>
    <w:rsidRoot w:val="00013C6F"/>
    <w:rsid w:val="00004E70"/>
    <w:rsid w:val="00013C6F"/>
    <w:rsid w:val="000B4410"/>
    <w:rsid w:val="00140ADB"/>
    <w:rsid w:val="001B7BB0"/>
    <w:rsid w:val="00207FA3"/>
    <w:rsid w:val="00225EC1"/>
    <w:rsid w:val="004D3743"/>
    <w:rsid w:val="005A433C"/>
    <w:rsid w:val="00673FF4"/>
    <w:rsid w:val="007303EB"/>
    <w:rsid w:val="0077126D"/>
    <w:rsid w:val="007A119C"/>
    <w:rsid w:val="008C62A7"/>
    <w:rsid w:val="009A30C1"/>
    <w:rsid w:val="009F5760"/>
    <w:rsid w:val="00A56C8A"/>
    <w:rsid w:val="00B8001C"/>
    <w:rsid w:val="00BC251C"/>
    <w:rsid w:val="00C1053A"/>
    <w:rsid w:val="00D5092F"/>
    <w:rsid w:val="00D60BFF"/>
    <w:rsid w:val="00E04629"/>
    <w:rsid w:val="00E55161"/>
    <w:rsid w:val="00F1451A"/>
    <w:rsid w:val="00FB77A6"/>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6E3A25"/>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E33844"/>
    <w:rsid w:val="14EA23A8"/>
    <w:rsid w:val="15A27FE2"/>
    <w:rsid w:val="1627453B"/>
    <w:rsid w:val="17197045"/>
    <w:rsid w:val="175C6F5E"/>
    <w:rsid w:val="179A7791"/>
    <w:rsid w:val="17D35ACB"/>
    <w:rsid w:val="17DC3DC3"/>
    <w:rsid w:val="181F357B"/>
    <w:rsid w:val="188345AC"/>
    <w:rsid w:val="195E168F"/>
    <w:rsid w:val="196A7CDF"/>
    <w:rsid w:val="19C72BF8"/>
    <w:rsid w:val="19CA553D"/>
    <w:rsid w:val="19E1383C"/>
    <w:rsid w:val="1A4E2E8E"/>
    <w:rsid w:val="1AE747FC"/>
    <w:rsid w:val="1AF51455"/>
    <w:rsid w:val="1B35603D"/>
    <w:rsid w:val="1B9D302A"/>
    <w:rsid w:val="1BF446CE"/>
    <w:rsid w:val="1C704031"/>
    <w:rsid w:val="1D271A66"/>
    <w:rsid w:val="1DCB47DF"/>
    <w:rsid w:val="1E601115"/>
    <w:rsid w:val="1EB03217"/>
    <w:rsid w:val="1F000FB0"/>
    <w:rsid w:val="1F111AD7"/>
    <w:rsid w:val="1F5A1E7F"/>
    <w:rsid w:val="1FA707DF"/>
    <w:rsid w:val="1FFE7B8C"/>
    <w:rsid w:val="203C025A"/>
    <w:rsid w:val="20775CA3"/>
    <w:rsid w:val="217A1AB1"/>
    <w:rsid w:val="22695B47"/>
    <w:rsid w:val="23FE5E11"/>
    <w:rsid w:val="243235AA"/>
    <w:rsid w:val="24B10BAC"/>
    <w:rsid w:val="24D2061D"/>
    <w:rsid w:val="251132F3"/>
    <w:rsid w:val="253C38DE"/>
    <w:rsid w:val="25B24E22"/>
    <w:rsid w:val="262232BB"/>
    <w:rsid w:val="262B4FF6"/>
    <w:rsid w:val="264810A7"/>
    <w:rsid w:val="265A7CC8"/>
    <w:rsid w:val="27014400"/>
    <w:rsid w:val="271B2298"/>
    <w:rsid w:val="276D0D8C"/>
    <w:rsid w:val="286C33CA"/>
    <w:rsid w:val="2884463C"/>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0BB0C62"/>
    <w:rsid w:val="31AF70F0"/>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2A67168"/>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8A95C04"/>
    <w:rsid w:val="48EB44EE"/>
    <w:rsid w:val="491722FF"/>
    <w:rsid w:val="491D74A7"/>
    <w:rsid w:val="497C7C2F"/>
    <w:rsid w:val="498307B4"/>
    <w:rsid w:val="49882B9B"/>
    <w:rsid w:val="49AF4809"/>
    <w:rsid w:val="49B324BE"/>
    <w:rsid w:val="4A3763F6"/>
    <w:rsid w:val="4A5007FC"/>
    <w:rsid w:val="4A885383"/>
    <w:rsid w:val="4AE85958"/>
    <w:rsid w:val="4AF51ADF"/>
    <w:rsid w:val="4AFD5436"/>
    <w:rsid w:val="4B7C2BF9"/>
    <w:rsid w:val="4B845AA1"/>
    <w:rsid w:val="4B902F6E"/>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EE4791"/>
    <w:rsid w:val="5AF97A89"/>
    <w:rsid w:val="5B352171"/>
    <w:rsid w:val="5B514882"/>
    <w:rsid w:val="5B5C757D"/>
    <w:rsid w:val="5B6B124E"/>
    <w:rsid w:val="5D155819"/>
    <w:rsid w:val="5D3F048D"/>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7E29B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 w:val="7FEC7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paragraph" w:styleId="5">
    <w:name w:val="List Paragraph"/>
    <w:basedOn w:val="1"/>
    <w:qFormat/>
    <w:uiPriority w:val="99"/>
    <w:pPr>
      <w:ind w:firstLine="420" w:firstLineChars="200"/>
    </w:pPr>
    <w:rPr>
      <w:rFonts w:ascii="Calibri" w:hAnsi="Calibri"/>
      <w:szCs w:val="22"/>
    </w:rPr>
  </w:style>
  <w:style w:type="paragraph" w:customStyle="1" w:styleId="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274</Words>
  <Characters>1563</Characters>
  <Lines>13</Lines>
  <Paragraphs>3</Paragraphs>
  <TotalTime>7</TotalTime>
  <ScaleCrop>false</ScaleCrop>
  <LinksUpToDate>false</LinksUpToDate>
  <CharactersWithSpaces>1834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啦啦啦</cp:lastModifiedBy>
  <dcterms:modified xsi:type="dcterms:W3CDTF">2023-11-23T07:05:35Z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46B1E17AE7754E13BA78DBD53DD7830E</vt:lpwstr>
  </property>
</Properties>
</file>