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600" w:lineRule="exact"/>
        <w:outlineLvl w:val="0"/>
        <w:rPr>
          <w:rFonts w:hint="eastAsia" w:ascii="黑体" w:hAnsi="黑体" w:eastAsia="黑体" w:cs="黑体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Cs w:val="32"/>
          <w:highlight w:val="none"/>
        </w:rPr>
        <w:t>附件</w:t>
      </w:r>
    </w:p>
    <w:p>
      <w:pPr>
        <w:widowControl w:val="0"/>
        <w:spacing w:line="600" w:lineRule="exact"/>
        <w:outlineLvl w:val="0"/>
        <w:rPr>
          <w:rFonts w:cs="Times New Roman"/>
          <w:szCs w:val="32"/>
          <w:highlight w:val="none"/>
        </w:rPr>
      </w:pPr>
    </w:p>
    <w:p>
      <w:pPr>
        <w:widowControl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省级农村供水高质量发展规划</w:t>
      </w:r>
    </w:p>
    <w:p>
      <w:pPr>
        <w:widowControl w:val="0"/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参考大纲</w:t>
      </w:r>
    </w:p>
    <w:p>
      <w:pPr>
        <w:pStyle w:val="2"/>
        <w:widowControl w:val="0"/>
        <w:spacing w:after="0" w:line="600" w:lineRule="exact"/>
        <w:ind w:leftChars="0" w:firstLine="640"/>
        <w:jc w:val="center"/>
        <w:outlineLvl w:val="0"/>
        <w:rPr>
          <w:rFonts w:eastAsia="仿宋_GB2312"/>
          <w:szCs w:val="32"/>
          <w:highlight w:val="none"/>
        </w:rPr>
      </w:pP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前言</w:t>
      </w: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黑体" w:hAnsi="黑体" w:eastAsia="黑体" w:cs="黑体"/>
          <w:szCs w:val="32"/>
          <w:highlight w:val="none"/>
        </w:rPr>
        <w:t>第一章</w:t>
      </w:r>
      <w:r>
        <w:rPr>
          <w:rFonts w:ascii="黑体" w:hAnsi="黑体" w:eastAsia="黑体" w:cs="黑体"/>
          <w:szCs w:val="32"/>
          <w:highlight w:val="none"/>
        </w:rPr>
        <w:t xml:space="preserve">  </w:t>
      </w:r>
      <w:r>
        <w:rPr>
          <w:rFonts w:hint="eastAsia" w:ascii="黑体" w:hAnsi="黑体" w:eastAsia="黑体" w:cs="黑体"/>
          <w:szCs w:val="32"/>
          <w:highlight w:val="none"/>
        </w:rPr>
        <w:t>现状</w:t>
      </w:r>
      <w:r>
        <w:rPr>
          <w:rFonts w:ascii="黑体" w:hAnsi="黑体" w:eastAsia="黑体" w:cs="黑体"/>
          <w:szCs w:val="32"/>
          <w:highlight w:val="none"/>
        </w:rPr>
        <w:t>与</w:t>
      </w:r>
      <w:r>
        <w:rPr>
          <w:rFonts w:hint="eastAsia" w:ascii="黑体" w:hAnsi="黑体" w:eastAsia="黑体" w:cs="黑体"/>
          <w:szCs w:val="32"/>
          <w:highlight w:val="none"/>
        </w:rPr>
        <w:t>需求</w:t>
      </w:r>
      <w:r>
        <w:rPr>
          <w:rFonts w:ascii="黑体" w:hAnsi="黑体" w:eastAsia="黑体" w:cs="黑体"/>
          <w:szCs w:val="32"/>
          <w:highlight w:val="none"/>
        </w:rPr>
        <w:t>分析</w:t>
      </w:r>
    </w:p>
    <w:p>
      <w:pPr>
        <w:pStyle w:val="2"/>
        <w:widowControl w:val="0"/>
        <w:spacing w:after="0" w:line="600" w:lineRule="exact"/>
        <w:ind w:leftChars="0" w:firstLine="640"/>
        <w:outlineLvl w:val="0"/>
        <w:rPr>
          <w:rFonts w:hint="eastAsia"/>
          <w:highlight w:val="none"/>
        </w:rPr>
      </w:pPr>
      <w:r>
        <w:rPr>
          <w:rFonts w:hint="eastAsia" w:eastAsia="仿宋_GB2312"/>
          <w:szCs w:val="32"/>
          <w:highlight w:val="none"/>
        </w:rPr>
        <w:t>梳理</w:t>
      </w:r>
      <w:r>
        <w:rPr>
          <w:rFonts w:eastAsia="仿宋_GB2312"/>
          <w:szCs w:val="32"/>
          <w:highlight w:val="none"/>
        </w:rPr>
        <w:t>农村供水现状</w:t>
      </w:r>
      <w:r>
        <w:rPr>
          <w:rFonts w:hint="eastAsia" w:eastAsia="仿宋_GB2312"/>
          <w:szCs w:val="32"/>
          <w:highlight w:val="none"/>
          <w:lang w:eastAsia="zh-CN"/>
        </w:rPr>
        <w:t>（居民生活用水和二、三产业用水）</w:t>
      </w:r>
      <w:r>
        <w:rPr>
          <w:rFonts w:eastAsia="仿宋_GB2312"/>
          <w:szCs w:val="32"/>
          <w:highlight w:val="none"/>
        </w:rPr>
        <w:t>，</w:t>
      </w:r>
      <w:r>
        <w:rPr>
          <w:rFonts w:hint="eastAsia" w:eastAsia="仿宋_GB2312"/>
          <w:szCs w:val="32"/>
          <w:highlight w:val="none"/>
        </w:rPr>
        <w:t>全面摸清推进农村供水高质量发展的建设基础，分析农村供水高质量发展存在的短板弱项。</w:t>
      </w: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>第二章  指导思想与目标</w:t>
      </w: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以2022年为基准年，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明确</w:t>
      </w:r>
      <w:r>
        <w:rPr>
          <w:rFonts w:hint="eastAsia" w:ascii="仿宋_GB2312" w:hAnsi="仿宋_GB2312" w:cs="仿宋_GB2312"/>
          <w:szCs w:val="32"/>
          <w:highlight w:val="none"/>
        </w:rPr>
        <w:t>3—5年农村供水高质量发展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目标。</w:t>
      </w:r>
      <w:r>
        <w:rPr>
          <w:rFonts w:hint="eastAsia" w:ascii="仿宋_GB2312" w:hAnsi="仿宋_GB2312" w:cs="仿宋_GB2312"/>
          <w:szCs w:val="32"/>
          <w:highlight w:val="none"/>
        </w:rPr>
        <w:t>展望到2035年，农村供水</w:t>
      </w:r>
      <w:r>
        <w:rPr>
          <w:rFonts w:hint="eastAsia" w:ascii="仿宋_GB2312" w:hAnsi="仿宋_GB2312" w:cs="仿宋_GB2312"/>
          <w:szCs w:val="32"/>
          <w:highlight w:val="none"/>
          <w:lang w:eastAsia="zh-CN"/>
        </w:rPr>
        <w:t>现代化目标</w:t>
      </w:r>
      <w:r>
        <w:rPr>
          <w:rFonts w:cs="Times New Roman"/>
          <w:szCs w:val="32"/>
          <w:highlight w:val="none"/>
        </w:rPr>
        <w:t>。</w:t>
      </w: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 xml:space="preserve">第三章  </w:t>
      </w:r>
      <w:r>
        <w:rPr>
          <w:rFonts w:hint="eastAsia" w:ascii="黑体" w:hAnsi="黑体" w:eastAsia="黑体" w:cs="黑体"/>
          <w:szCs w:val="32"/>
          <w:highlight w:val="none"/>
        </w:rPr>
        <w:t>总体布局</w:t>
      </w:r>
    </w:p>
    <w:p>
      <w:pPr>
        <w:widowControl w:val="0"/>
        <w:spacing w:line="600" w:lineRule="exact"/>
        <w:ind w:firstLine="640" w:firstLineChars="200"/>
        <w:outlineLvl w:val="0"/>
        <w:rPr>
          <w:rFonts w:hint="eastAsia"/>
          <w:szCs w:val="32"/>
          <w:highlight w:val="none"/>
        </w:rPr>
      </w:pPr>
      <w:r>
        <w:rPr>
          <w:rFonts w:hint="eastAsia"/>
          <w:szCs w:val="32"/>
          <w:highlight w:val="none"/>
        </w:rPr>
        <w:t>科学提出符合</w:t>
      </w:r>
      <w:r>
        <w:rPr>
          <w:szCs w:val="32"/>
          <w:highlight w:val="none"/>
        </w:rPr>
        <w:t>本省</w:t>
      </w:r>
      <w:r>
        <w:rPr>
          <w:rFonts w:hint="eastAsia"/>
          <w:szCs w:val="32"/>
          <w:highlight w:val="none"/>
          <w:lang w:eastAsia="zh-CN"/>
        </w:rPr>
        <w:t>（自治区、直辖市）</w:t>
      </w:r>
      <w:r>
        <w:rPr>
          <w:rFonts w:hint="eastAsia"/>
          <w:szCs w:val="32"/>
          <w:highlight w:val="none"/>
        </w:rPr>
        <w:t>特点</w:t>
      </w:r>
      <w:r>
        <w:rPr>
          <w:szCs w:val="32"/>
          <w:highlight w:val="none"/>
        </w:rPr>
        <w:t>的农村供水</w:t>
      </w:r>
      <w:r>
        <w:rPr>
          <w:rFonts w:hint="eastAsia"/>
          <w:szCs w:val="32"/>
          <w:highlight w:val="none"/>
        </w:rPr>
        <w:t>高质量</w:t>
      </w:r>
      <w:r>
        <w:rPr>
          <w:szCs w:val="32"/>
          <w:highlight w:val="none"/>
        </w:rPr>
        <w:t>发展工程布局。</w:t>
      </w:r>
    </w:p>
    <w:p>
      <w:pPr>
        <w:pStyle w:val="2"/>
        <w:widowControl w:val="0"/>
        <w:spacing w:after="0" w:line="600" w:lineRule="exact"/>
        <w:ind w:leftChars="0" w:firstLine="64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 xml:space="preserve">第四章  </w:t>
      </w:r>
      <w:r>
        <w:rPr>
          <w:rFonts w:hint="eastAsia" w:ascii="黑体" w:hAnsi="黑体" w:eastAsia="黑体" w:cs="黑体"/>
          <w:szCs w:val="32"/>
          <w:highlight w:val="none"/>
        </w:rPr>
        <w:t>完善</w:t>
      </w:r>
      <w:r>
        <w:rPr>
          <w:rFonts w:ascii="黑体" w:hAnsi="黑体" w:eastAsia="黑体" w:cs="黑体"/>
          <w:szCs w:val="32"/>
          <w:highlight w:val="none"/>
        </w:rPr>
        <w:t>农村供水工程体系</w:t>
      </w:r>
    </w:p>
    <w:p>
      <w:pPr>
        <w:widowControl w:val="0"/>
        <w:spacing w:line="600" w:lineRule="exact"/>
        <w:ind w:firstLine="640" w:firstLineChars="200"/>
        <w:outlineLvl w:val="0"/>
        <w:rPr>
          <w:szCs w:val="32"/>
          <w:highlight w:val="none"/>
        </w:rPr>
      </w:pPr>
      <w:r>
        <w:rPr>
          <w:rFonts w:hint="eastAsia"/>
          <w:szCs w:val="32"/>
          <w:highlight w:val="none"/>
        </w:rPr>
        <w:t>明确</w:t>
      </w:r>
      <w:r>
        <w:rPr>
          <w:rFonts w:hint="eastAsia"/>
          <w:szCs w:val="32"/>
          <w:highlight w:val="none"/>
          <w:lang w:eastAsia="zh-CN"/>
        </w:rPr>
        <w:t>优先实施</w:t>
      </w:r>
      <w:r>
        <w:rPr>
          <w:szCs w:val="32"/>
          <w:highlight w:val="none"/>
        </w:rPr>
        <w:t>城乡供水一体化</w:t>
      </w:r>
      <w:r>
        <w:rPr>
          <w:rFonts w:hint="eastAsia"/>
          <w:szCs w:val="32"/>
          <w:highlight w:val="none"/>
        </w:rPr>
        <w:t>、</w:t>
      </w:r>
      <w:r>
        <w:rPr>
          <w:szCs w:val="32"/>
          <w:highlight w:val="none"/>
        </w:rPr>
        <w:t>集中供水规模化</w:t>
      </w:r>
      <w:r>
        <w:rPr>
          <w:rFonts w:hint="eastAsia"/>
          <w:szCs w:val="32"/>
          <w:highlight w:val="none"/>
          <w:lang w:eastAsia="zh-CN"/>
        </w:rPr>
        <w:t>，加强</w:t>
      </w:r>
      <w:r>
        <w:rPr>
          <w:szCs w:val="32"/>
          <w:highlight w:val="none"/>
        </w:rPr>
        <w:t>小型工程规范化</w:t>
      </w:r>
      <w:r>
        <w:rPr>
          <w:rFonts w:hint="eastAsia"/>
          <w:szCs w:val="32"/>
          <w:highlight w:val="none"/>
          <w:lang w:eastAsia="zh-CN"/>
        </w:rPr>
        <w:t>，以及</w:t>
      </w:r>
      <w:r>
        <w:rPr>
          <w:rFonts w:hint="eastAsia" w:cs="Times New Roman"/>
          <w:szCs w:val="32"/>
          <w:highlight w:val="none"/>
        </w:rPr>
        <w:t>减少分散</w:t>
      </w:r>
      <w:r>
        <w:rPr>
          <w:rFonts w:cs="Times New Roman"/>
          <w:szCs w:val="32"/>
          <w:highlight w:val="none"/>
        </w:rPr>
        <w:t>供水和</w:t>
      </w:r>
      <w:r>
        <w:rPr>
          <w:rFonts w:hint="eastAsia" w:cs="Times New Roman"/>
          <w:szCs w:val="32"/>
          <w:highlight w:val="none"/>
        </w:rPr>
        <w:t>直饮水窖水</w:t>
      </w:r>
      <w:r>
        <w:rPr>
          <w:rFonts w:hint="eastAsia" w:cs="Times New Roman"/>
          <w:szCs w:val="32"/>
          <w:highlight w:val="none"/>
          <w:lang w:eastAsia="zh-CN"/>
        </w:rPr>
        <w:t>、水</w:t>
      </w:r>
      <w:r>
        <w:rPr>
          <w:rFonts w:hint="eastAsia" w:cs="Times New Roman"/>
          <w:szCs w:val="32"/>
          <w:highlight w:val="none"/>
        </w:rPr>
        <w:t>柜水</w:t>
      </w:r>
      <w:r>
        <w:rPr>
          <w:rFonts w:hint="eastAsia" w:cs="Times New Roman"/>
          <w:szCs w:val="32"/>
          <w:highlight w:val="none"/>
          <w:lang w:eastAsia="zh-CN"/>
        </w:rPr>
        <w:t>农村</w:t>
      </w:r>
      <w:r>
        <w:rPr>
          <w:rFonts w:hint="eastAsia" w:cs="Times New Roman"/>
          <w:szCs w:val="32"/>
          <w:highlight w:val="none"/>
        </w:rPr>
        <w:t>人口</w:t>
      </w:r>
      <w:r>
        <w:rPr>
          <w:rFonts w:hint="eastAsia" w:cs="Times New Roman"/>
          <w:szCs w:val="32"/>
          <w:highlight w:val="none"/>
          <w:lang w:eastAsia="zh-CN"/>
        </w:rPr>
        <w:t>数量的</w:t>
      </w:r>
      <w:r>
        <w:rPr>
          <w:rFonts w:cs="Times New Roman"/>
          <w:szCs w:val="32"/>
          <w:highlight w:val="none"/>
        </w:rPr>
        <w:t>具体</w:t>
      </w:r>
      <w:r>
        <w:rPr>
          <w:rFonts w:hint="eastAsia" w:cs="Times New Roman"/>
          <w:szCs w:val="32"/>
          <w:highlight w:val="none"/>
        </w:rPr>
        <w:t>工程</w:t>
      </w:r>
      <w:r>
        <w:rPr>
          <w:rFonts w:cs="Times New Roman"/>
          <w:szCs w:val="32"/>
          <w:highlight w:val="none"/>
        </w:rPr>
        <w:t>项目、覆盖人口范围</w:t>
      </w:r>
      <w:r>
        <w:rPr>
          <w:rFonts w:hint="eastAsia" w:cs="Times New Roman"/>
          <w:szCs w:val="32"/>
          <w:highlight w:val="none"/>
          <w:lang w:eastAsia="zh-CN"/>
        </w:rPr>
        <w:t>。确保三种模式覆盖全部农村供水人口。</w:t>
      </w:r>
      <w:r>
        <w:rPr>
          <w:szCs w:val="32"/>
          <w:highlight w:val="none"/>
        </w:rPr>
        <w:tab/>
      </w:r>
    </w:p>
    <w:p>
      <w:pPr>
        <w:widowControl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ascii="黑体" w:hAnsi="黑体" w:eastAsia="黑体" w:cs="黑体"/>
          <w:szCs w:val="32"/>
          <w:highlight w:val="none"/>
        </w:rPr>
        <w:t>第</w:t>
      </w:r>
      <w:r>
        <w:rPr>
          <w:rFonts w:hint="eastAsia" w:ascii="黑体" w:hAnsi="黑体" w:eastAsia="黑体" w:cs="黑体"/>
          <w:szCs w:val="32"/>
          <w:highlight w:val="none"/>
        </w:rPr>
        <w:t>五</w:t>
      </w:r>
      <w:r>
        <w:rPr>
          <w:rFonts w:ascii="黑体" w:hAnsi="黑体" w:eastAsia="黑体" w:cs="黑体"/>
          <w:szCs w:val="32"/>
          <w:highlight w:val="none"/>
        </w:rPr>
        <w:t xml:space="preserve">章  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深入实施</w:t>
      </w:r>
      <w:r>
        <w:rPr>
          <w:rFonts w:ascii="黑体" w:hAnsi="黑体" w:eastAsia="黑体" w:cs="黑体"/>
          <w:szCs w:val="32"/>
          <w:highlight w:val="none"/>
        </w:rPr>
        <w:t>水质</w:t>
      </w:r>
      <w:bookmarkStart w:id="0" w:name="_GoBack"/>
      <w:bookmarkEnd w:id="0"/>
      <w:r>
        <w:rPr>
          <w:rFonts w:hint="eastAsia" w:ascii="黑体" w:hAnsi="黑体" w:eastAsia="黑体" w:cs="黑体"/>
          <w:szCs w:val="32"/>
          <w:highlight w:val="none"/>
          <w:lang w:eastAsia="zh-CN"/>
        </w:rPr>
        <w:t>提升专项行动</w:t>
      </w:r>
    </w:p>
    <w:p>
      <w:pPr>
        <w:pStyle w:val="2"/>
        <w:widowControl w:val="0"/>
        <w:spacing w:after="0" w:line="600" w:lineRule="exact"/>
        <w:ind w:leftChars="0" w:firstLine="640"/>
        <w:outlineLvl w:val="0"/>
        <w:rPr>
          <w:szCs w:val="32"/>
          <w:highlight w:val="none"/>
        </w:rPr>
      </w:pPr>
      <w:r>
        <w:rPr>
          <w:rFonts w:hint="eastAsia" w:eastAsia="仿宋_GB2312"/>
          <w:szCs w:val="32"/>
          <w:highlight w:val="none"/>
        </w:rPr>
        <w:t>对照《生活饮用水卫生标准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》（GB5749—2022）</w:t>
      </w:r>
      <w:r>
        <w:rPr>
          <w:rFonts w:hint="eastAsia" w:ascii="仿宋_GB2312" w:hAnsi="仿宋_GB2312" w:eastAsia="仿宋_GB2312" w:cs="仿宋_GB231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highlight w:val="none"/>
        </w:rPr>
        <w:t>从稳定水源置换、水源保护、净</w:t>
      </w:r>
      <w:r>
        <w:rPr>
          <w:rFonts w:eastAsia="仿宋_GB2312"/>
          <w:szCs w:val="32"/>
          <w:highlight w:val="none"/>
        </w:rPr>
        <w:t>化消毒</w:t>
      </w:r>
      <w:r>
        <w:rPr>
          <w:rFonts w:hint="eastAsia" w:eastAsia="仿宋_GB2312"/>
          <w:szCs w:val="32"/>
          <w:highlight w:val="none"/>
        </w:rPr>
        <w:t>到</w:t>
      </w:r>
      <w:r>
        <w:rPr>
          <w:rFonts w:eastAsia="仿宋_GB2312"/>
          <w:szCs w:val="32"/>
          <w:highlight w:val="none"/>
        </w:rPr>
        <w:t>水质风险防控机制</w:t>
      </w:r>
      <w:r>
        <w:rPr>
          <w:rFonts w:hint="eastAsia" w:eastAsia="仿宋_GB2312"/>
          <w:szCs w:val="32"/>
          <w:highlight w:val="none"/>
        </w:rPr>
        <w:t>等</w:t>
      </w:r>
      <w:r>
        <w:rPr>
          <w:rFonts w:hint="eastAsia" w:eastAsia="仿宋_GB2312"/>
          <w:szCs w:val="32"/>
          <w:highlight w:val="none"/>
          <w:lang w:eastAsia="zh-CN"/>
        </w:rPr>
        <w:t>方面，</w:t>
      </w:r>
      <w:r>
        <w:rPr>
          <w:rFonts w:hint="eastAsia" w:eastAsia="仿宋_GB2312"/>
          <w:szCs w:val="32"/>
          <w:highlight w:val="none"/>
        </w:rPr>
        <w:t>提出</w:t>
      </w:r>
      <w:r>
        <w:rPr>
          <w:rFonts w:eastAsia="仿宋_GB2312"/>
          <w:szCs w:val="32"/>
          <w:highlight w:val="none"/>
        </w:rPr>
        <w:t>从</w:t>
      </w:r>
      <w:r>
        <w:rPr>
          <w:rFonts w:hint="eastAsia" w:eastAsia="仿宋_GB2312"/>
          <w:szCs w:val="32"/>
          <w:highlight w:val="none"/>
        </w:rPr>
        <w:t>“源头”到“龙头”的</w:t>
      </w:r>
      <w:r>
        <w:rPr>
          <w:rFonts w:eastAsia="仿宋_GB2312"/>
          <w:szCs w:val="32"/>
          <w:highlight w:val="none"/>
        </w:rPr>
        <w:t>全流程水质保障</w:t>
      </w:r>
      <w:r>
        <w:rPr>
          <w:rFonts w:hint="eastAsia" w:eastAsia="仿宋_GB2312"/>
          <w:szCs w:val="32"/>
          <w:highlight w:val="none"/>
        </w:rPr>
        <w:t>具体</w:t>
      </w:r>
      <w:r>
        <w:rPr>
          <w:rFonts w:eastAsia="仿宋_GB2312"/>
          <w:szCs w:val="32"/>
          <w:highlight w:val="none"/>
        </w:rPr>
        <w:t>任务举措</w:t>
      </w:r>
      <w:r>
        <w:rPr>
          <w:rFonts w:hint="eastAsia" w:eastAsia="仿宋_GB2312"/>
          <w:szCs w:val="32"/>
          <w:highlight w:val="none"/>
        </w:rPr>
        <w:t>。</w:t>
      </w:r>
    </w:p>
    <w:p>
      <w:pPr>
        <w:pStyle w:val="2"/>
        <w:widowControl w:val="0"/>
        <w:spacing w:after="0" w:line="600" w:lineRule="exact"/>
        <w:ind w:leftChars="0" w:firstLine="64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>第</w:t>
      </w:r>
      <w:r>
        <w:rPr>
          <w:rFonts w:hint="eastAsia" w:ascii="黑体" w:hAnsi="黑体" w:eastAsia="黑体" w:cs="黑体"/>
          <w:szCs w:val="32"/>
          <w:highlight w:val="none"/>
        </w:rPr>
        <w:t>六</w:t>
      </w:r>
      <w:r>
        <w:rPr>
          <w:rFonts w:ascii="黑体" w:hAnsi="黑体" w:eastAsia="黑体" w:cs="黑体"/>
          <w:szCs w:val="32"/>
          <w:highlight w:val="none"/>
        </w:rPr>
        <w:t xml:space="preserve">章  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优化</w:t>
      </w:r>
      <w:r>
        <w:rPr>
          <w:rFonts w:ascii="黑体" w:hAnsi="黑体" w:eastAsia="黑体" w:cs="黑体"/>
          <w:szCs w:val="32"/>
          <w:highlight w:val="none"/>
        </w:rPr>
        <w:t>健全工程长效运行管护机制</w:t>
      </w:r>
    </w:p>
    <w:p>
      <w:pPr>
        <w:widowControl w:val="0"/>
        <w:spacing w:line="600" w:lineRule="exact"/>
        <w:ind w:firstLine="640" w:firstLineChars="200"/>
        <w:outlineLvl w:val="0"/>
        <w:rPr>
          <w:rFonts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</w:rPr>
        <w:t>全面落实</w:t>
      </w:r>
      <w:r>
        <w:rPr>
          <w:rFonts w:hint="eastAsia" w:cs="Times New Roman"/>
          <w:szCs w:val="32"/>
          <w:highlight w:val="none"/>
          <w:lang w:eastAsia="zh-CN"/>
        </w:rPr>
        <w:t>“</w:t>
      </w:r>
      <w:r>
        <w:rPr>
          <w:rFonts w:hint="eastAsia" w:cs="Times New Roman"/>
          <w:szCs w:val="32"/>
          <w:highlight w:val="none"/>
        </w:rPr>
        <w:t>三个</w:t>
      </w:r>
      <w:r>
        <w:rPr>
          <w:rFonts w:cs="Times New Roman"/>
          <w:szCs w:val="32"/>
          <w:highlight w:val="none"/>
        </w:rPr>
        <w:t>责任</w:t>
      </w:r>
      <w:r>
        <w:rPr>
          <w:rFonts w:hint="eastAsia" w:cs="Times New Roman"/>
          <w:szCs w:val="32"/>
          <w:highlight w:val="none"/>
          <w:lang w:eastAsia="zh-CN"/>
        </w:rPr>
        <w:t>”“</w:t>
      </w:r>
      <w:r>
        <w:rPr>
          <w:rFonts w:hint="eastAsia" w:cs="Times New Roman"/>
          <w:szCs w:val="32"/>
          <w:highlight w:val="none"/>
        </w:rPr>
        <w:t>三项制度</w:t>
      </w:r>
      <w:r>
        <w:rPr>
          <w:rFonts w:cs="Times New Roman"/>
          <w:szCs w:val="32"/>
          <w:highlight w:val="none"/>
        </w:rPr>
        <w:t>”</w:t>
      </w:r>
      <w:r>
        <w:rPr>
          <w:rFonts w:hint="eastAsia" w:cs="Times New Roman"/>
          <w:szCs w:val="32"/>
          <w:highlight w:val="none"/>
        </w:rPr>
        <w:t>，推进</w:t>
      </w:r>
      <w:r>
        <w:rPr>
          <w:szCs w:val="32"/>
          <w:highlight w:val="none"/>
        </w:rPr>
        <w:t>县域统一管理</w:t>
      </w:r>
      <w:r>
        <w:rPr>
          <w:rFonts w:hint="eastAsia"/>
          <w:szCs w:val="32"/>
          <w:highlight w:val="none"/>
        </w:rPr>
        <w:t>，</w:t>
      </w:r>
      <w:r>
        <w:rPr>
          <w:rFonts w:hint="eastAsia" w:cs="Times New Roman"/>
          <w:szCs w:val="32"/>
          <w:highlight w:val="none"/>
          <w:lang w:eastAsia="zh-CN"/>
        </w:rPr>
        <w:t>加强</w:t>
      </w:r>
      <w:r>
        <w:rPr>
          <w:rFonts w:hint="eastAsia" w:cs="Times New Roman"/>
          <w:szCs w:val="32"/>
          <w:highlight w:val="none"/>
        </w:rPr>
        <w:t>专业化管护，</w:t>
      </w:r>
      <w:r>
        <w:rPr>
          <w:rFonts w:cs="Times New Roman"/>
          <w:szCs w:val="32"/>
          <w:highlight w:val="none"/>
        </w:rPr>
        <w:t>完善水价形成和水费收缴机制</w:t>
      </w:r>
      <w:r>
        <w:rPr>
          <w:rFonts w:hint="eastAsia" w:cs="Times New Roman"/>
          <w:szCs w:val="32"/>
          <w:highlight w:val="none"/>
        </w:rPr>
        <w:t>，</w:t>
      </w:r>
      <w:r>
        <w:rPr>
          <w:rFonts w:hint="eastAsia" w:cs="Times New Roman"/>
          <w:b w:val="0"/>
          <w:bCs w:val="0"/>
          <w:szCs w:val="32"/>
          <w:highlight w:val="none"/>
          <w:lang w:eastAsia="zh-CN"/>
        </w:rPr>
        <w:t>探索完善监督机制，</w:t>
      </w:r>
      <w:r>
        <w:rPr>
          <w:rFonts w:hint="eastAsia" w:cs="Times New Roman"/>
          <w:szCs w:val="32"/>
          <w:highlight w:val="none"/>
        </w:rPr>
        <w:t>推进</w:t>
      </w:r>
      <w:r>
        <w:rPr>
          <w:rFonts w:hint="eastAsia" w:cs="Times New Roman"/>
          <w:szCs w:val="32"/>
          <w:highlight w:val="none"/>
          <w:lang w:eastAsia="zh-CN"/>
        </w:rPr>
        <w:t>标准化管理和</w:t>
      </w:r>
      <w:r>
        <w:rPr>
          <w:rFonts w:hint="eastAsia" w:cs="Times New Roman"/>
          <w:szCs w:val="32"/>
          <w:highlight w:val="none"/>
        </w:rPr>
        <w:t>数字孪生农村供水</w:t>
      </w:r>
      <w:r>
        <w:rPr>
          <w:rFonts w:hint="eastAsia" w:cs="Times New Roman"/>
          <w:szCs w:val="32"/>
          <w:highlight w:val="none"/>
          <w:lang w:eastAsia="zh-CN"/>
        </w:rPr>
        <w:t>工程</w:t>
      </w:r>
      <w:r>
        <w:rPr>
          <w:rFonts w:hint="eastAsia" w:cs="Times New Roman"/>
          <w:szCs w:val="32"/>
          <w:highlight w:val="none"/>
        </w:rPr>
        <w:t>建设</w:t>
      </w:r>
      <w:r>
        <w:rPr>
          <w:rFonts w:hint="eastAsia" w:cs="Times New Roman"/>
          <w:szCs w:val="32"/>
          <w:highlight w:val="none"/>
          <w:lang w:eastAsia="zh-CN"/>
        </w:rPr>
        <w:t>。</w:t>
      </w:r>
      <w:r>
        <w:rPr>
          <w:rFonts w:cs="Times New Roman"/>
          <w:szCs w:val="32"/>
          <w:highlight w:val="none"/>
        </w:rPr>
        <w:tab/>
      </w:r>
    </w:p>
    <w:p>
      <w:pPr>
        <w:widowControl w:val="0"/>
        <w:spacing w:line="600" w:lineRule="exact"/>
        <w:ind w:firstLine="640" w:firstLineChars="200"/>
        <w:outlineLvl w:val="0"/>
        <w:rPr>
          <w:rFonts w:hint="eastAsia" w:ascii="黑体" w:hAnsi="黑体" w:eastAsia="黑体" w:cs="黑体"/>
          <w:szCs w:val="32"/>
          <w:highlight w:val="none"/>
          <w:lang w:eastAsia="zh-CN"/>
        </w:rPr>
      </w:pPr>
      <w:r>
        <w:rPr>
          <w:rFonts w:ascii="黑体" w:hAnsi="黑体" w:eastAsia="黑体" w:cs="黑体"/>
          <w:szCs w:val="32"/>
          <w:highlight w:val="none"/>
        </w:rPr>
        <w:t>第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七</w:t>
      </w:r>
      <w:r>
        <w:rPr>
          <w:rFonts w:ascii="黑体" w:hAnsi="黑体" w:eastAsia="黑体" w:cs="黑体"/>
          <w:szCs w:val="32"/>
          <w:highlight w:val="none"/>
        </w:rPr>
        <w:t xml:space="preserve">章  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强化应急供水保障</w:t>
      </w:r>
    </w:p>
    <w:p>
      <w:pPr>
        <w:pStyle w:val="2"/>
        <w:widowControl w:val="0"/>
        <w:spacing w:after="0" w:line="600" w:lineRule="exact"/>
        <w:ind w:leftChars="0" w:firstLine="640"/>
        <w:outlineLvl w:val="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建立健全平急两用的应急供水保障体系，完善应急保障运行机制，做好应对洪旱灾害、突发水污染事件应急保供水工作。</w:t>
      </w:r>
    </w:p>
    <w:p>
      <w:pPr>
        <w:widowControl w:val="0"/>
        <w:spacing w:line="600" w:lineRule="exact"/>
        <w:ind w:firstLine="640" w:firstLineChars="200"/>
        <w:outlineLvl w:val="0"/>
        <w:rPr>
          <w:rFonts w:hint="default" w:cs="Times New Roman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>第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八</w:t>
      </w:r>
      <w:r>
        <w:rPr>
          <w:rFonts w:ascii="黑体" w:hAnsi="黑体" w:eastAsia="黑体" w:cs="黑体"/>
          <w:szCs w:val="32"/>
          <w:highlight w:val="none"/>
        </w:rPr>
        <w:t>章  投资测算和筹资渠道</w:t>
      </w:r>
    </w:p>
    <w:p>
      <w:pPr>
        <w:widowControl w:val="0"/>
        <w:spacing w:line="600" w:lineRule="exact"/>
        <w:ind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hint="eastAsia" w:cs="Times New Roman"/>
          <w:highlight w:val="none"/>
        </w:rPr>
        <w:t>分类做好投资测算</w:t>
      </w:r>
      <w:r>
        <w:rPr>
          <w:rFonts w:hint="eastAsia" w:cs="Times New Roman"/>
          <w:highlight w:val="none"/>
          <w:lang w:eastAsia="zh-CN"/>
        </w:rPr>
        <w:t>，</w:t>
      </w:r>
      <w:r>
        <w:rPr>
          <w:rFonts w:hint="eastAsia" w:cs="Times New Roman"/>
          <w:highlight w:val="none"/>
        </w:rPr>
        <w:t>已审批项目按审批投资计算、未审批项目按规划投资或有关规范测算、续建项目按未完成投资计算</w:t>
      </w:r>
      <w:r>
        <w:rPr>
          <w:rFonts w:hint="eastAsia" w:cs="Times New Roman"/>
          <w:highlight w:val="none"/>
          <w:lang w:eastAsia="zh-CN"/>
        </w:rPr>
        <w:t>。</w:t>
      </w:r>
      <w:r>
        <w:rPr>
          <w:rFonts w:hint="eastAsia" w:cs="Times New Roman"/>
          <w:highlight w:val="none"/>
        </w:rPr>
        <w:t>详细说明资金筹措渠道。</w:t>
      </w:r>
    </w:p>
    <w:p>
      <w:pPr>
        <w:widowControl w:val="0"/>
        <w:spacing w:line="600" w:lineRule="exact"/>
        <w:ind w:left="0" w:leftChars="0" w:firstLine="640" w:firstLineChars="200"/>
        <w:outlineLvl w:val="0"/>
        <w:rPr>
          <w:rFonts w:ascii="黑体" w:hAnsi="黑体" w:eastAsia="黑体" w:cs="黑体"/>
          <w:szCs w:val="32"/>
          <w:highlight w:val="none"/>
        </w:rPr>
      </w:pPr>
      <w:r>
        <w:rPr>
          <w:rFonts w:ascii="黑体" w:hAnsi="黑体" w:eastAsia="黑体" w:cs="黑体"/>
          <w:szCs w:val="32"/>
          <w:highlight w:val="none"/>
        </w:rPr>
        <w:t>第</w:t>
      </w:r>
      <w:r>
        <w:rPr>
          <w:rFonts w:hint="eastAsia" w:ascii="黑体" w:hAnsi="黑体" w:eastAsia="黑体" w:cs="黑体"/>
          <w:szCs w:val="32"/>
          <w:highlight w:val="none"/>
          <w:lang w:eastAsia="zh-CN"/>
        </w:rPr>
        <w:t>九</w:t>
      </w:r>
      <w:r>
        <w:rPr>
          <w:rFonts w:ascii="黑体" w:hAnsi="黑体" w:eastAsia="黑体" w:cs="黑体"/>
          <w:szCs w:val="32"/>
          <w:highlight w:val="none"/>
        </w:rPr>
        <w:t>章  强化保障措施</w:t>
      </w:r>
    </w:p>
    <w:p>
      <w:pPr>
        <w:widowControl w:val="0"/>
        <w:spacing w:line="600" w:lineRule="exact"/>
        <w:ind w:firstLine="640" w:firstLineChars="200"/>
        <w:outlineLvl w:val="0"/>
        <w:rPr>
          <w:rFonts w:hint="eastAsia" w:cs="Times New Roman"/>
          <w:szCs w:val="32"/>
          <w:highlight w:val="none"/>
        </w:rPr>
      </w:pPr>
      <w:r>
        <w:rPr>
          <w:rFonts w:hint="eastAsia" w:cs="Times New Roman"/>
          <w:szCs w:val="32"/>
          <w:highlight w:val="none"/>
        </w:rPr>
        <w:t>组织</w:t>
      </w:r>
      <w:r>
        <w:rPr>
          <w:rFonts w:cs="Times New Roman"/>
          <w:szCs w:val="32"/>
          <w:highlight w:val="none"/>
        </w:rPr>
        <w:t>领导、</w:t>
      </w:r>
      <w:r>
        <w:rPr>
          <w:rFonts w:hint="eastAsia" w:cs="Times New Roman"/>
          <w:szCs w:val="32"/>
          <w:highlight w:val="none"/>
        </w:rPr>
        <w:t>资金</w:t>
      </w:r>
      <w:r>
        <w:rPr>
          <w:rFonts w:cs="Times New Roman"/>
          <w:szCs w:val="32"/>
          <w:highlight w:val="none"/>
        </w:rPr>
        <w:t>保障、</w:t>
      </w:r>
      <w:r>
        <w:rPr>
          <w:rFonts w:hint="eastAsia" w:cs="Times New Roman"/>
          <w:szCs w:val="32"/>
          <w:highlight w:val="none"/>
          <w:lang w:eastAsia="zh-CN"/>
        </w:rPr>
        <w:t>考核监督、技术指导、宣传推广</w:t>
      </w:r>
      <w:r>
        <w:rPr>
          <w:rFonts w:cs="Times New Roman"/>
          <w:szCs w:val="32"/>
          <w:highlight w:val="none"/>
        </w:rPr>
        <w:t>等。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outlineLvl w:val="9"/>
        <w:rPr>
          <w:rFonts w:hint="eastAsia" w:cs="Times New Roman"/>
          <w:szCs w:val="32"/>
          <w:highlight w:val="none"/>
        </w:rPr>
      </w:pPr>
    </w:p>
    <w:sectPr>
      <w:footerReference r:id="rId5" w:type="default"/>
      <w:pgSz w:w="11906" w:h="16838"/>
      <w:pgMar w:top="1984" w:right="1531" w:bottom="1531" w:left="1531" w:header="851" w:footer="1191" w:gutter="0"/>
      <w:pgNumType w:start="11"/>
      <w:cols w:space="720" w:num="1"/>
      <w:docGrid w:type="lines" w:linePitch="444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7A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tabs>
        <w:tab w:val="clear" w:pos="4140"/>
        <w:tab w:val="clear" w:pos="8300"/>
      </w:tabs>
      <w:rPr>
        <w:rFonts w:hint="eastAsia" w:eastAsia="仿宋_GB2312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2"/>
                            <w:tabs>
                              <w:tab w:val="clear" w:pos="4140"/>
                              <w:tab w:val="clear" w:pos="8300"/>
                            </w:tabs>
                            <w:ind w:left="320" w:leftChars="100" w:right="32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uXW5UtAAAAAFAQAADwAAAAAAAAABACAAAAA4AAAAZHJzL2Rvd25yZXYueG1sUEsBAhQA&#10;FAAAAAgAh07iQF1inNurAQAAPAMAAA4AAAAAAAAAAQAgAAAAN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tabs>
                        <w:tab w:val="clear" w:pos="4140"/>
                        <w:tab w:val="clear" w:pos="8300"/>
                      </w:tabs>
                      <w:ind w:left="320" w:leftChars="100" w:right="32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ocumentProtection w:enforcement="0"/>
  <w:defaultTabStop w:val="420"/>
  <w:drawingGridVerticalSpacing w:val="222"/>
  <w:displayHorizontalDrawingGridEvery w:val="1"/>
  <w:displayVerticalDrawingGridEvery w:val="1"/>
  <w:doNotShadeFormData w:val="true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0F10"/>
    <w:rsid w:val="1CFB70EE"/>
    <w:rsid w:val="1EED737B"/>
    <w:rsid w:val="20CC41EB"/>
    <w:rsid w:val="23FECBCB"/>
    <w:rsid w:val="249B0D8D"/>
    <w:rsid w:val="2F7F927E"/>
    <w:rsid w:val="2FBBE8DC"/>
    <w:rsid w:val="32946834"/>
    <w:rsid w:val="329E351E"/>
    <w:rsid w:val="336D2849"/>
    <w:rsid w:val="3A9DE67F"/>
    <w:rsid w:val="3D6FF537"/>
    <w:rsid w:val="3DFD5111"/>
    <w:rsid w:val="3FCE9D32"/>
    <w:rsid w:val="3FCEB241"/>
    <w:rsid w:val="3FD71081"/>
    <w:rsid w:val="3FFFDC7F"/>
    <w:rsid w:val="43636DEA"/>
    <w:rsid w:val="55F7E9AD"/>
    <w:rsid w:val="5AF750AB"/>
    <w:rsid w:val="5BDD1DEF"/>
    <w:rsid w:val="5CFFB4CC"/>
    <w:rsid w:val="5D3F30F1"/>
    <w:rsid w:val="5DBCA7B3"/>
    <w:rsid w:val="5EEC7947"/>
    <w:rsid w:val="5F3C447B"/>
    <w:rsid w:val="5FBF9872"/>
    <w:rsid w:val="61D139E4"/>
    <w:rsid w:val="62FFDDC1"/>
    <w:rsid w:val="67631F2D"/>
    <w:rsid w:val="67BB8E35"/>
    <w:rsid w:val="67BF2FB5"/>
    <w:rsid w:val="6DE32FD5"/>
    <w:rsid w:val="6FFF4663"/>
    <w:rsid w:val="71F73741"/>
    <w:rsid w:val="73FEA8C7"/>
    <w:rsid w:val="773FCFAE"/>
    <w:rsid w:val="77B245E2"/>
    <w:rsid w:val="77E76AB0"/>
    <w:rsid w:val="77F561FD"/>
    <w:rsid w:val="77FFD7C4"/>
    <w:rsid w:val="79DF0123"/>
    <w:rsid w:val="7AD97057"/>
    <w:rsid w:val="7AFF7D33"/>
    <w:rsid w:val="7B7F06F6"/>
    <w:rsid w:val="7BFE87E7"/>
    <w:rsid w:val="7BFFEAE3"/>
    <w:rsid w:val="7C7DEDB7"/>
    <w:rsid w:val="7DCFFB73"/>
    <w:rsid w:val="7DFB6A40"/>
    <w:rsid w:val="7DFD09C1"/>
    <w:rsid w:val="7E3EF5CD"/>
    <w:rsid w:val="7F7E4180"/>
    <w:rsid w:val="7FEE5898"/>
    <w:rsid w:val="7FFBB538"/>
    <w:rsid w:val="82EBD53D"/>
    <w:rsid w:val="917306ED"/>
    <w:rsid w:val="937FE450"/>
    <w:rsid w:val="9E3B4C90"/>
    <w:rsid w:val="9FFE1431"/>
    <w:rsid w:val="AA76E9F0"/>
    <w:rsid w:val="ACFDD8A8"/>
    <w:rsid w:val="AECFDBF9"/>
    <w:rsid w:val="AFF74F69"/>
    <w:rsid w:val="BBB33646"/>
    <w:rsid w:val="BEB61C87"/>
    <w:rsid w:val="BEF770E9"/>
    <w:rsid w:val="BFBBF798"/>
    <w:rsid w:val="BFF98158"/>
    <w:rsid w:val="BFFF0842"/>
    <w:rsid w:val="CEF7CC29"/>
    <w:rsid w:val="D1F67F0E"/>
    <w:rsid w:val="D35FF582"/>
    <w:rsid w:val="D6D92D10"/>
    <w:rsid w:val="D7EFFCD3"/>
    <w:rsid w:val="DBFC3670"/>
    <w:rsid w:val="DF7D5AD8"/>
    <w:rsid w:val="DFBF25F5"/>
    <w:rsid w:val="DFFF6CD7"/>
    <w:rsid w:val="E67F60BC"/>
    <w:rsid w:val="E7A62397"/>
    <w:rsid w:val="E7DB0E93"/>
    <w:rsid w:val="E7DD6F9D"/>
    <w:rsid w:val="E7FF56D8"/>
    <w:rsid w:val="EBFFDF54"/>
    <w:rsid w:val="EDDE46E0"/>
    <w:rsid w:val="EEB43793"/>
    <w:rsid w:val="EF9AD796"/>
    <w:rsid w:val="EFBB8676"/>
    <w:rsid w:val="EFBDC07A"/>
    <w:rsid w:val="EFBF36B9"/>
    <w:rsid w:val="F5B90E00"/>
    <w:rsid w:val="F5D5E0E0"/>
    <w:rsid w:val="F6770DE1"/>
    <w:rsid w:val="F7F616C7"/>
    <w:rsid w:val="F93BD59F"/>
    <w:rsid w:val="F9FCB980"/>
    <w:rsid w:val="F9FD1962"/>
    <w:rsid w:val="FBE7FE20"/>
    <w:rsid w:val="FBEF284F"/>
    <w:rsid w:val="FCA2BC1A"/>
    <w:rsid w:val="FDBBDC2E"/>
    <w:rsid w:val="FDFA0982"/>
    <w:rsid w:val="FEAF2707"/>
    <w:rsid w:val="FEFB89CC"/>
    <w:rsid w:val="FF5881EB"/>
    <w:rsid w:val="FF7BBFC6"/>
    <w:rsid w:val="FFCA3382"/>
    <w:rsid w:val="FFEF9AA1"/>
    <w:rsid w:val="FFFED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0" w:line="600" w:lineRule="atLeast"/>
      <w:jc w:val="both"/>
    </w:pPr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widowControl w:val="0"/>
      <w:spacing w:before="120" w:after="120" w:line="360" w:lineRule="auto"/>
      <w:ind w:left="0" w:right="0" w:firstLine="640"/>
      <w:jc w:val="both"/>
      <w:outlineLvl w:val="0"/>
    </w:pPr>
    <w:rPr>
      <w:rFonts w:ascii="Times New Roman" w:hAnsi="Times New Roman" w:eastAsia="黑体" w:cs="Times New Roman"/>
      <w:kern w:val="44"/>
      <w:sz w:val="32"/>
      <w:szCs w:val="44"/>
      <w:lang w:val="en-US" w:eastAsia="zh-CN" w:bidi="ar-SA"/>
    </w:rPr>
  </w:style>
  <w:style w:type="paragraph" w:styleId="5">
    <w:name w:val="heading 2"/>
    <w:basedOn w:val="6"/>
    <w:next w:val="1"/>
    <w:qFormat/>
    <w:uiPriority w:val="0"/>
    <w:pPr>
      <w:widowControl/>
      <w:spacing w:before="120" w:after="0" w:line="360" w:lineRule="auto"/>
      <w:ind w:left="0" w:right="0" w:firstLine="0" w:firstLineChars="0"/>
      <w:jc w:val="both"/>
      <w:outlineLvl w:val="1"/>
    </w:pPr>
    <w:rPr>
      <w:rFonts w:ascii="Times New Roman" w:hAnsi="Times New Roman" w:eastAsia="宋体" w:cs="Times New Roman"/>
      <w:color w:val="000000"/>
      <w:kern w:val="2"/>
      <w:sz w:val="32"/>
      <w:szCs w:val="24"/>
      <w:lang w:val="en-US" w:eastAsia="zh-CN" w:bidi="ar-SA"/>
    </w:rPr>
  </w:style>
  <w:style w:type="paragraph" w:styleId="6">
    <w:name w:val="heading 3"/>
    <w:basedOn w:val="1"/>
    <w:next w:val="1"/>
    <w:qFormat/>
    <w:uiPriority w:val="0"/>
    <w:pPr>
      <w:widowControl/>
      <w:spacing w:before="120" w:after="0" w:line="360" w:lineRule="auto"/>
      <w:ind w:left="0" w:right="0" w:firstLine="640"/>
      <w:jc w:val="both"/>
      <w:outlineLvl w:val="2"/>
    </w:pPr>
    <w:rPr>
      <w:rFonts w:ascii="Times New Roman" w:hAnsi="Times New Roman" w:eastAsia="楷体_GB2312" w:cs="Times New Roman"/>
      <w:color w:val="000000"/>
      <w:kern w:val="2"/>
      <w:sz w:val="32"/>
      <w:szCs w:val="24"/>
      <w:lang w:val="en-US" w:eastAsia="zh-CN" w:bidi="ar-SA"/>
    </w:rPr>
  </w:style>
  <w:style w:type="character" w:default="1" w:styleId="15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14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left="0"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3">
    <w:name w:val="BodyText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Normal Indent"/>
    <w:basedOn w:val="1"/>
    <w:qFormat/>
    <w:uiPriority w:val="0"/>
    <w:pPr>
      <w:snapToGrid w:val="0"/>
      <w:spacing w:after="0" w:line="300" w:lineRule="auto"/>
      <w:ind w:firstLine="540"/>
      <w:jc w:val="both"/>
    </w:pPr>
    <w:rPr>
      <w:rFonts w:ascii="仿宋_GB2312" w:hAnsi="Times New Roman" w:eastAsia="宋体" w:cs="Times New Roman"/>
      <w:kern w:val="0"/>
      <w:sz w:val="32"/>
      <w:szCs w:val="22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0" w:line="600" w:lineRule="atLeast"/>
      <w:ind w:firstLine="64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paragraph" w:styleId="9">
    <w:name w:val="Body Text First Indent 2"/>
    <w:basedOn w:val="10"/>
    <w:qFormat/>
    <w:uiPriority w:val="0"/>
    <w:rPr>
      <w:rFonts w:ascii="Times New Roman" w:hAnsi="Times New Roman" w:eastAsia="宋体" w:cs="Times New Roman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11">
    <w:name w:val="Balloon Text"/>
    <w:basedOn w:val="1"/>
    <w:link w:val="19"/>
    <w:qFormat/>
    <w:uiPriority w:val="0"/>
    <w:pPr>
      <w:spacing w:line="240" w:lineRule="auto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40"/>
        <w:tab w:val="right" w:pos="8300"/>
      </w:tabs>
      <w:snapToGrid w:val="0"/>
      <w:spacing w:before="0" w:after="0" w:line="240" w:lineRule="atLeast"/>
      <w:ind w:left="0" w:right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 w:eastAsia="宋体" w:cs="Times New Roman"/>
      <w:sz w:val="18"/>
    </w:rPr>
  </w:style>
  <w:style w:type="character" w:styleId="16">
    <w:name w:val="Emphasis"/>
    <w:qFormat/>
    <w:uiPriority w:val="0"/>
    <w:rPr>
      <w:rFonts w:ascii="Times New Roman" w:hAnsi="Times New Roman" w:eastAsia="宋体" w:cs="Times New Roman"/>
      <w:i/>
    </w:rPr>
  </w:style>
  <w:style w:type="paragraph" w:customStyle="1" w:styleId="17">
    <w:name w:val="正文文本1"/>
    <w:basedOn w:val="1"/>
    <w:qFormat/>
    <w:uiPriority w:val="0"/>
    <w:pPr>
      <w:spacing w:line="454" w:lineRule="auto"/>
      <w:ind w:firstLine="400"/>
    </w:pPr>
    <w:rPr>
      <w:rFonts w:ascii="宋体" w:hAnsi="宋体" w:eastAsia="宋体" w:cs="宋体"/>
      <w:sz w:val="28"/>
      <w:szCs w:val="28"/>
    </w:rPr>
  </w:style>
  <w:style w:type="character" w:customStyle="1" w:styleId="18">
    <w:name w:val="NormalCharacter"/>
    <w:qFormat/>
    <w:uiPriority w:val="0"/>
    <w:rPr>
      <w:rFonts w:ascii="Times New Roman" w:hAnsi="Times New Roman" w:eastAsia="仿宋_GB2312" w:cs="宋体"/>
      <w:kern w:val="2"/>
      <w:sz w:val="32"/>
      <w:szCs w:val="22"/>
      <w:lang w:val="en-US" w:eastAsia="zh-CN" w:bidi="ar-SA"/>
    </w:rPr>
  </w:style>
  <w:style w:type="character" w:customStyle="1" w:styleId="19">
    <w:name w:val="批注框文本 Char"/>
    <w:link w:val="11"/>
    <w:qFormat/>
    <w:uiPriority w:val="0"/>
    <w:rPr>
      <w:rFonts w:ascii="Times New Roman" w:hAnsi="Times New Roman" w:eastAsia="仿宋_GB2312" w:cs="宋体"/>
      <w:kern w:val="2"/>
      <w:sz w:val="18"/>
      <w:szCs w:val="18"/>
    </w:rPr>
  </w:style>
  <w:style w:type="paragraph" w:customStyle="1" w:styleId="20">
    <w:name w:val="BodyText"/>
    <w:basedOn w:val="1"/>
    <w:next w:val="1"/>
    <w:qFormat/>
    <w:uiPriority w:val="0"/>
    <w:pPr>
      <w:spacing w:after="12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5782</Words>
  <Characters>5818</Characters>
  <Paragraphs>81</Paragraphs>
  <TotalTime>33</TotalTime>
  <ScaleCrop>false</ScaleCrop>
  <LinksUpToDate>false</LinksUpToDate>
  <CharactersWithSpaces>5842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2023-10-02T02:31:00Z</dcterms:created>
  <dc:creator>PC</dc:creator>
  <cp:lastModifiedBy>张学进</cp:lastModifiedBy>
  <cp:lastPrinted>2023-10-10T00:48:00Z</cp:lastPrinted>
  <dcterms:modified xsi:type="dcterms:W3CDTF">2023-10-10T08:54:27Z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F9041BCED81B49F8940D1D1ACD7F2D85_13</vt:lpwstr>
  </property>
</Properties>
</file>