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hint="eastAsia"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spacing w:after="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株洲市科学技术局</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责任清单</w:t>
      </w:r>
    </w:p>
    <w:p>
      <w:pPr>
        <w:pStyle w:val="2"/>
        <w:rPr>
          <w:rFonts w:hint="eastAsia"/>
          <w:lang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9887"/>
        <w:gridCol w:w="2416"/>
        <w:gridCol w:w="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335"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黑体" w:hAnsi="黑体" w:eastAsia="黑体"/>
                <w:b w:val="0"/>
                <w:bCs/>
                <w:sz w:val="32"/>
                <w:szCs w:val="32"/>
              </w:rPr>
            </w:pPr>
            <w:r>
              <w:rPr>
                <w:rFonts w:hint="eastAsia" w:ascii="黑体" w:hAnsi="黑体" w:eastAsia="黑体"/>
                <w:b w:val="0"/>
                <w:bCs/>
                <w:sz w:val="32"/>
                <w:szCs w:val="32"/>
              </w:rPr>
              <w:t>单位</w:t>
            </w:r>
          </w:p>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b w:val="0"/>
                <w:bCs/>
                <w:sz w:val="32"/>
                <w:szCs w:val="32"/>
              </w:rPr>
            </w:pPr>
            <w:r>
              <w:rPr>
                <w:rFonts w:hint="eastAsia" w:ascii="黑体" w:hAnsi="黑体" w:eastAsia="黑体"/>
                <w:b w:val="0"/>
                <w:bCs/>
                <w:sz w:val="32"/>
                <w:szCs w:val="32"/>
              </w:rPr>
              <w:t>名称</w:t>
            </w:r>
          </w:p>
        </w:tc>
        <w:tc>
          <w:tcPr>
            <w:tcW w:w="9887" w:type="dxa"/>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b w:val="0"/>
                <w:bCs/>
                <w:sz w:val="32"/>
                <w:szCs w:val="32"/>
              </w:rPr>
            </w:pPr>
            <w:r>
              <w:rPr>
                <w:rFonts w:hint="eastAsia" w:ascii="黑体" w:hAnsi="黑体" w:eastAsia="黑体"/>
                <w:b w:val="0"/>
                <w:bCs/>
                <w:sz w:val="32"/>
                <w:szCs w:val="32"/>
              </w:rPr>
              <w:t>重点宣传的</w:t>
            </w:r>
          </w:p>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ascii="黑体" w:hAnsi="黑体" w:eastAsia="黑体"/>
                <w:b w:val="0"/>
                <w:bCs/>
                <w:sz w:val="32"/>
                <w:szCs w:val="32"/>
              </w:rPr>
            </w:pPr>
            <w:r>
              <w:rPr>
                <w:rFonts w:hint="eastAsia" w:ascii="黑体" w:hAnsi="黑体" w:eastAsia="黑体"/>
                <w:b w:val="0"/>
                <w:bCs/>
                <w:sz w:val="32"/>
                <w:szCs w:val="32"/>
              </w:rPr>
              <w:t>法律法规规章</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after="0" w:line="320" w:lineRule="exact"/>
              <w:jc w:val="center"/>
              <w:textAlignment w:val="auto"/>
              <w:rPr>
                <w:rFonts w:hint="eastAsia" w:ascii="黑体" w:hAnsi="黑体" w:eastAsia="黑体"/>
                <w:b w:val="0"/>
                <w:bCs/>
                <w:sz w:val="32"/>
                <w:szCs w:val="32"/>
                <w:lang w:eastAsia="zh-CN"/>
              </w:rPr>
            </w:pPr>
            <w:r>
              <w:rPr>
                <w:rFonts w:hint="eastAsia" w:ascii="黑体" w:hAnsi="黑体" w:eastAsia="黑体"/>
                <w:b w:val="0"/>
                <w:bCs/>
                <w:sz w:val="32"/>
                <w:szCs w:val="32"/>
              </w:rPr>
              <w:t>责任</w:t>
            </w:r>
            <w:r>
              <w:rPr>
                <w:rFonts w:hint="eastAsia" w:ascii="黑体" w:hAnsi="黑体" w:eastAsia="黑体"/>
                <w:b w:val="0"/>
                <w:bCs/>
                <w:sz w:val="32"/>
                <w:szCs w:val="32"/>
                <w:lang w:eastAsia="zh-CN"/>
              </w:rPr>
              <w:t>科室</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黑体" w:hAnsi="黑体" w:eastAsia="黑体"/>
                <w:b w:val="0"/>
                <w:bCs/>
                <w:sz w:val="32"/>
                <w:szCs w:val="32"/>
              </w:rPr>
            </w:pPr>
            <w:r>
              <w:rPr>
                <w:rFonts w:hint="eastAsia" w:ascii="黑体" w:hAnsi="黑体" w:eastAsia="黑体"/>
                <w:b w:val="0"/>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1335" w:type="dxa"/>
            <w:vMerge w:val="restart"/>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b w:val="0"/>
                <w:bCs w:val="0"/>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b w:val="0"/>
                <w:bCs w:val="0"/>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b w:val="0"/>
                <w:bCs w:val="0"/>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b w:val="0"/>
                <w:bCs w:val="0"/>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b w:val="0"/>
                <w:bCs w:val="0"/>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b w:val="0"/>
                <w:bCs w:val="0"/>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cs="Times New Roman"/>
                <w:b w:val="0"/>
                <w:bCs w:val="0"/>
                <w:sz w:val="28"/>
                <w:szCs w:val="28"/>
                <w:lang w:val="en-US" w:eastAsia="zh-CN"/>
              </w:rPr>
            </w:pPr>
            <w:bookmarkStart w:id="0" w:name="_GoBack"/>
            <w:bookmarkEnd w:id="0"/>
            <w:r>
              <w:rPr>
                <w:rFonts w:hint="eastAsia" w:ascii="Times New Roman" w:hAnsi="Times New Roman" w:eastAsia="仿宋_GB2312" w:cs="Times New Roman"/>
                <w:b w:val="0"/>
                <w:bCs w:val="0"/>
                <w:sz w:val="28"/>
                <w:szCs w:val="28"/>
                <w:lang w:val="en-US" w:eastAsia="zh-CN"/>
              </w:rPr>
              <w:t>株洲市科学技术局</w:t>
            </w: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jc w:val="center"/>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jc w:val="center"/>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jc w:val="center"/>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jc w:val="center"/>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jc w:val="center"/>
              <w:textAlignment w:val="auto"/>
              <w:outlineLvl w:val="9"/>
              <w:rPr>
                <w:rFonts w:hint="eastAsia" w:ascii="黑体" w:hAnsi="黑体" w:eastAsia="黑体" w:cs="黑体"/>
                <w:sz w:val="28"/>
                <w:szCs w:val="28"/>
                <w:lang w:val="en-US" w:eastAsia="zh-CN"/>
              </w:rPr>
            </w:pPr>
          </w:p>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jc w:val="center"/>
              <w:textAlignment w:val="auto"/>
              <w:outlineLvl w:val="9"/>
              <w:rPr>
                <w:rFonts w:hint="eastAsia" w:ascii="黑体" w:hAnsi="黑体" w:eastAsia="黑体" w:cs="黑体"/>
                <w:sz w:val="28"/>
                <w:szCs w:val="28"/>
                <w:lang w:val="en-US" w:eastAsia="zh-CN"/>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1、重点贯彻学习《中华人民共和国档案法》《中华人民共和国政府信息公开条例》《中华人民共和国网络安全法》《中华人民共和国保守国家秘密法》等相关法律法规</w:t>
            </w:r>
          </w:p>
        </w:tc>
        <w:tc>
          <w:tcPr>
            <w:tcW w:w="0" w:type="auto"/>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eastAsia" w:ascii="黑体" w:hAnsi="黑体" w:eastAsia="黑体" w:cs="黑体"/>
                <w:sz w:val="28"/>
                <w:szCs w:val="28"/>
                <w:lang w:val="en-US" w:eastAsia="zh-CN"/>
              </w:rPr>
            </w:pPr>
            <w:r>
              <w:rPr>
                <w:rFonts w:hint="eastAsia" w:ascii="Times New Roman" w:hAnsi="Times New Roman" w:eastAsia="仿宋_GB2312" w:cs="Times New Roman"/>
                <w:b w:val="0"/>
                <w:bCs w:val="0"/>
                <w:sz w:val="28"/>
                <w:szCs w:val="28"/>
                <w:lang w:val="en-US" w:eastAsia="zh-CN"/>
              </w:rPr>
              <w:t>办公室</w:t>
            </w:r>
          </w:p>
        </w:tc>
        <w:tc>
          <w:tcPr>
            <w:tcW w:w="0" w:type="auto"/>
            <w:vMerge w:val="restart"/>
            <w:vAlign w:val="top"/>
          </w:tcPr>
          <w:p>
            <w:pPr>
              <w:keepNext w:val="0"/>
              <w:keepLines w:val="0"/>
              <w:pageBreakBefore w:val="0"/>
              <w:widowControl/>
              <w:shd w:val="clear" w:color="auto" w:fill="auto"/>
              <w:kinsoku/>
              <w:wordWrap/>
              <w:overflowPunct/>
              <w:topLinePunct w:val="0"/>
              <w:autoSpaceDE/>
              <w:autoSpaceDN/>
              <w:bidi w:val="0"/>
              <w:adjustRightInd w:val="0"/>
              <w:snapToGrid w:val="0"/>
              <w:spacing w:after="0" w:line="360" w:lineRule="exact"/>
              <w:textAlignment w:val="auto"/>
              <w:outlineLvl w:val="9"/>
              <w:rPr>
                <w:rFonts w:hint="eastAsia" w:ascii="黑体" w:hAnsi="黑体" w:eastAsia="黑体" w:cs="黑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rPr>
            </w:pPr>
            <w:r>
              <w:rPr>
                <w:rFonts w:hint="eastAsia" w:ascii="Times New Roman" w:hAnsi="Times New Roman" w:eastAsia="仿宋_GB2312" w:cs="Times New Roman"/>
                <w:b w:val="0"/>
                <w:bCs w:val="0"/>
                <w:sz w:val="28"/>
                <w:szCs w:val="28"/>
                <w:lang w:val="en-US" w:eastAsia="zh-CN"/>
              </w:rPr>
              <w:t>2、重点贯彻学习《中华人民共和国民法典》《中华人民共和国立法法》《中华人民共和国行政复议法》《中华人民共和国行政诉讼法》《中华人民共和国科学技术普及法》等法律法规规章</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仿宋_GB2312" w:hAnsi="黑体" w:eastAsia="仿宋_GB2312"/>
                <w:sz w:val="28"/>
                <w:szCs w:val="28"/>
                <w:lang w:eastAsia="zh-CN"/>
              </w:rPr>
            </w:pPr>
            <w:r>
              <w:rPr>
                <w:rFonts w:hint="eastAsia" w:ascii="Times New Roman" w:hAnsi="Times New Roman" w:eastAsia="仿宋_GB2312" w:cs="Times New Roman"/>
                <w:b w:val="0"/>
                <w:bCs w:val="0"/>
                <w:sz w:val="28"/>
                <w:szCs w:val="28"/>
                <w:lang w:val="en-US" w:eastAsia="zh-CN"/>
              </w:rPr>
              <w:t>政策法规科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rPr>
            </w:pPr>
            <w:r>
              <w:rPr>
                <w:rFonts w:hint="eastAsia" w:ascii="Times New Roman" w:hAnsi="Times New Roman" w:eastAsia="仿宋_GB2312" w:cs="Times New Roman"/>
                <w:b w:val="0"/>
                <w:bCs w:val="0"/>
                <w:sz w:val="28"/>
                <w:szCs w:val="28"/>
                <w:lang w:val="en-US" w:eastAsia="zh-CN"/>
              </w:rPr>
              <w:t>3、重点宣传学习《中华人民共和国民法典》《中华人民共和国生物安全法》《中华人民共和国促进科技成果转化法》《中华人民共和国科学技术进步法》等相关法律法规</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仿宋_GB2312" w:hAnsi="黑体" w:eastAsia="仿宋_GB2312"/>
                <w:sz w:val="28"/>
                <w:szCs w:val="28"/>
              </w:rPr>
            </w:pPr>
            <w:r>
              <w:rPr>
                <w:rFonts w:hint="eastAsia" w:ascii="Times New Roman" w:hAnsi="Times New Roman" w:eastAsia="仿宋_GB2312" w:cs="Times New Roman"/>
                <w:b w:val="0"/>
                <w:bCs w:val="0"/>
                <w:sz w:val="28"/>
                <w:szCs w:val="28"/>
                <w:lang w:val="en-US" w:eastAsia="zh-CN"/>
              </w:rPr>
              <w:t>成果科、科研科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9887" w:type="dxa"/>
            <w:vAlign w:val="center"/>
          </w:tcPr>
          <w:p>
            <w:pPr>
              <w:keepNext w:val="0"/>
              <w:keepLines w:val="0"/>
              <w:pageBreakBefore w:val="0"/>
              <w:widowControl/>
              <w:shd w:val="clear" w:color="auto" w:fill="auto"/>
              <w:kinsoku/>
              <w:wordWrap/>
              <w:overflowPunct/>
              <w:topLinePunct w:val="0"/>
              <w:autoSpaceDE/>
              <w:autoSpaceDN/>
              <w:bidi w:val="0"/>
              <w:adjustRightInd w:val="0"/>
              <w:snapToGrid w:val="0"/>
              <w:spacing w:after="0" w:line="320" w:lineRule="exact"/>
              <w:textAlignment w:val="auto"/>
              <w:outlineLvl w:val="9"/>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4、重点宣传贯彻《中华人民共和国民法典》《中华人民共和国行政许可法》以及外国人来华工作许可有关政策法规</w:t>
            </w:r>
          </w:p>
        </w:tc>
        <w:tc>
          <w:tcPr>
            <w:tcW w:w="0" w:type="auto"/>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ascii="仿宋_GB2312" w:hAnsi="黑体" w:eastAsia="仿宋_GB2312"/>
                <w:sz w:val="28"/>
                <w:szCs w:val="28"/>
              </w:rPr>
            </w:pPr>
            <w:r>
              <w:rPr>
                <w:rFonts w:hint="eastAsia" w:ascii="Times New Roman" w:hAnsi="Times New Roman" w:eastAsia="仿宋_GB2312" w:cs="Times New Roman"/>
                <w:b w:val="0"/>
                <w:bCs w:val="0"/>
                <w:sz w:val="28"/>
                <w:szCs w:val="28"/>
                <w:lang w:val="en-US" w:eastAsia="zh-CN"/>
              </w:rPr>
              <w:t>外国专家科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335"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仿宋_GB2312" w:hAnsi="黑体" w:eastAsia="仿宋_GB2312"/>
                <w:b/>
                <w:sz w:val="28"/>
                <w:szCs w:val="28"/>
              </w:rPr>
            </w:pPr>
          </w:p>
        </w:tc>
        <w:tc>
          <w:tcPr>
            <w:tcW w:w="12303" w:type="dxa"/>
            <w:gridSpan w:val="2"/>
            <w:vAlign w:val="center"/>
          </w:tcPr>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sz w:val="28"/>
                <w:szCs w:val="28"/>
                <w:lang w:eastAsia="zh-CN"/>
              </w:rPr>
            </w:pPr>
            <w:r>
              <w:rPr>
                <w:rFonts w:hint="eastAsia" w:ascii="Times New Roman" w:hAnsi="Times New Roman" w:eastAsia="仿宋_GB2312" w:cs="Times New Roman"/>
                <w:b w:val="0"/>
                <w:bCs w:val="0"/>
                <w:sz w:val="28"/>
                <w:szCs w:val="28"/>
                <w:lang w:val="en-US" w:eastAsia="zh-CN"/>
              </w:rPr>
              <w:t>本单位普法工作的组织协调科室（部门）：政策法规科</w:t>
            </w:r>
          </w:p>
        </w:tc>
        <w:tc>
          <w:tcPr>
            <w:tcW w:w="0" w:type="auto"/>
            <w:vMerge w:val="continue"/>
            <w:vAlign w:val="top"/>
          </w:tcPr>
          <w:p>
            <w:pPr>
              <w:adjustRightInd w:val="0"/>
              <w:snapToGrid w:val="0"/>
              <w:spacing w:line="360" w:lineRule="auto"/>
              <w:rPr>
                <w:rFonts w:ascii="仿宋_GB2312" w:hAnsi="黑体" w:eastAsia="仿宋_GB2312"/>
                <w:sz w:val="32"/>
                <w:szCs w:val="32"/>
              </w:rPr>
            </w:pPr>
          </w:p>
        </w:tc>
      </w:tr>
    </w:tbl>
    <w:p>
      <w:pPr>
        <w:spacing w:after="0" w:line="560" w:lineRule="exact"/>
        <w:jc w:val="left"/>
        <w:rPr>
          <w:rFonts w:hint="eastAsia" w:ascii="黑体" w:hAnsi="黑体" w:eastAsia="黑体" w:cs="黑体"/>
          <w:color w:val="auto"/>
          <w:sz w:val="32"/>
          <w:szCs w:val="32"/>
          <w:lang w:eastAsia="zh-CN"/>
        </w:rPr>
      </w:pPr>
    </w:p>
    <w:p>
      <w:pPr>
        <w:spacing w:after="0" w:line="56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spacing w:after="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2023年</w:t>
      </w:r>
      <w:r>
        <w:rPr>
          <w:rFonts w:hint="eastAsia" w:ascii="方正小标宋简体" w:hAnsi="方正小标宋简体" w:eastAsia="方正小标宋简体" w:cs="方正小标宋简体"/>
          <w:color w:val="auto"/>
          <w:sz w:val="44"/>
          <w:szCs w:val="44"/>
          <w:lang w:eastAsia="zh-CN"/>
        </w:rPr>
        <w:t>株洲市科学技术局</w:t>
      </w:r>
      <w:r>
        <w:rPr>
          <w:rFonts w:hint="eastAsia" w:ascii="方正小标宋简体" w:hAnsi="方正小标宋简体" w:eastAsia="方正小标宋简体" w:cs="方正小标宋简体"/>
          <w:color w:val="auto"/>
          <w:sz w:val="44"/>
          <w:szCs w:val="44"/>
        </w:rPr>
        <w:t>“谁执法谁普法”</w:t>
      </w:r>
      <w:r>
        <w:rPr>
          <w:rFonts w:hint="eastAsia" w:ascii="方正小标宋简体" w:hAnsi="方正小标宋简体" w:eastAsia="方正小标宋简体" w:cs="方正小标宋简体"/>
          <w:color w:val="auto"/>
          <w:sz w:val="44"/>
          <w:szCs w:val="44"/>
          <w:lang w:eastAsia="zh-CN"/>
        </w:rPr>
        <w:t>年度任务清单</w:t>
      </w:r>
    </w:p>
    <w:p>
      <w:pPr>
        <w:pStyle w:val="2"/>
        <w:rPr>
          <w:rFonts w:hint="eastAsia"/>
          <w:lang w:eastAsia="zh-CN"/>
        </w:rPr>
      </w:pP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873"/>
        <w:gridCol w:w="10316"/>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497" w:type="pct"/>
            <w:noWrap w:val="0"/>
            <w:vAlign w:val="center"/>
          </w:tcPr>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项目</w:t>
            </w:r>
          </w:p>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指标</w:t>
            </w:r>
          </w:p>
        </w:tc>
        <w:tc>
          <w:tcPr>
            <w:tcW w:w="308" w:type="pct"/>
            <w:noWrap w:val="0"/>
            <w:vAlign w:val="center"/>
          </w:tcPr>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3640"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r>
              <w:rPr>
                <w:rFonts w:hint="default" w:ascii="黑体" w:hAnsi="黑体" w:eastAsia="黑体" w:cs="黑体"/>
                <w:sz w:val="32"/>
                <w:szCs w:val="32"/>
                <w:vertAlign w:val="baseline"/>
                <w:lang w:eastAsia="zh-CN"/>
              </w:rPr>
              <w:t>重点普法任务</w:t>
            </w:r>
          </w:p>
        </w:tc>
        <w:tc>
          <w:tcPr>
            <w:tcW w:w="553" w:type="pct"/>
            <w:noWrap w:val="0"/>
            <w:vAlign w:val="center"/>
          </w:tcPr>
          <w:p>
            <w:pPr>
              <w:spacing w:after="0" w:line="560" w:lineRule="exact"/>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restart"/>
            <w:noWrap w:val="0"/>
            <w:vAlign w:val="center"/>
          </w:tcPr>
          <w:p>
            <w:pPr>
              <w:spacing w:after="0" w:line="560" w:lineRule="exact"/>
              <w:jc w:val="center"/>
              <w:rPr>
                <w:rFonts w:hint="default" w:ascii="Times New Roman" w:hAnsi="Times New Roman" w:eastAsia="仿宋_GB2312" w:cs="Times New Roman"/>
                <w:sz w:val="28"/>
                <w:szCs w:val="28"/>
                <w:vertAlign w:val="baseline"/>
                <w:lang w:val="en" w:eastAsia="zh-CN"/>
              </w:rPr>
            </w:pPr>
            <w:r>
              <w:rPr>
                <w:rFonts w:hint="default" w:ascii="Times New Roman" w:hAnsi="Times New Roman" w:eastAsia="仿宋_GB2312" w:cs="Times New Roman"/>
                <w:sz w:val="28"/>
                <w:szCs w:val="28"/>
                <w:vertAlign w:val="baseline"/>
                <w:lang w:val="en" w:eastAsia="zh-CN"/>
              </w:rPr>
              <w:t>公共指标</w:t>
            </w:r>
          </w:p>
        </w:tc>
        <w:tc>
          <w:tcPr>
            <w:tcW w:w="308"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eastAsia"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en-US"/>
              </w:rPr>
              <w:t>认真贯彻实施国、省、市“八五”普法规划</w:t>
            </w:r>
            <w:r>
              <w:rPr>
                <w:rFonts w:hint="eastAsia" w:eastAsia="仿宋_GB2312" w:cs="Times New Roman"/>
                <w:sz w:val="28"/>
                <w:szCs w:val="28"/>
                <w:vertAlign w:val="baseline"/>
                <w:lang w:eastAsia="zh-CN"/>
              </w:rPr>
              <w:t>。</w:t>
            </w:r>
          </w:p>
        </w:tc>
        <w:tc>
          <w:tcPr>
            <w:tcW w:w="553" w:type="pct"/>
            <w:noWrap w:val="0"/>
            <w:vAlign w:val="center"/>
          </w:tcPr>
          <w:p>
            <w:pPr>
              <w:pStyle w:val="2"/>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val="en" w:eastAsia="zh-CN"/>
              </w:rPr>
            </w:pPr>
          </w:p>
        </w:tc>
        <w:tc>
          <w:tcPr>
            <w:tcW w:w="308"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2</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en-US"/>
              </w:rPr>
              <w:t>深</w:t>
            </w:r>
            <w:r>
              <w:rPr>
                <w:rFonts w:hint="default" w:ascii="Times New Roman" w:hAnsi="Times New Roman" w:eastAsia="仿宋_GB2312" w:cs="Times New Roman"/>
                <w:sz w:val="28"/>
                <w:szCs w:val="28"/>
                <w:vertAlign w:val="baseline"/>
                <w:lang w:eastAsia="en-US"/>
              </w:rPr>
              <w:t>入学习宣传习近平法治思想和</w:t>
            </w:r>
            <w:r>
              <w:rPr>
                <w:rFonts w:hint="eastAsia" w:ascii="Times New Roman" w:hAnsi="Times New Roman" w:eastAsia="仿宋_GB2312" w:cs="Times New Roman"/>
                <w:sz w:val="28"/>
                <w:szCs w:val="28"/>
                <w:vertAlign w:val="baseline"/>
                <w:lang w:eastAsia="zh-CN"/>
              </w:rPr>
              <w:t>党的二十大精神作为党委（党组）理论学习中心组学习重点内容和本单位、本系统法制培训内容</w:t>
            </w:r>
            <w:r>
              <w:rPr>
                <w:rFonts w:hint="default" w:ascii="Times New Roman" w:hAnsi="Times New Roman" w:eastAsia="仿宋_GB2312" w:cs="Times New Roman"/>
                <w:sz w:val="28"/>
                <w:szCs w:val="28"/>
                <w:vertAlign w:val="baseline"/>
                <w:lang w:eastAsia="en-US"/>
              </w:rPr>
              <w:t>，</w:t>
            </w:r>
            <w:r>
              <w:rPr>
                <w:rFonts w:hint="eastAsia" w:ascii="Times New Roman" w:hAnsi="Times New Roman" w:eastAsia="仿宋_GB2312" w:cs="Times New Roman"/>
                <w:sz w:val="28"/>
                <w:szCs w:val="28"/>
                <w:vertAlign w:val="baseline"/>
                <w:lang w:eastAsia="zh-CN"/>
              </w:rPr>
              <w:t>每年党委（党组）理论学习中心组学法不少于</w:t>
            </w:r>
            <w:r>
              <w:rPr>
                <w:rFonts w:hint="eastAsia" w:ascii="Times New Roman" w:hAnsi="Times New Roman" w:eastAsia="仿宋_GB2312" w:cs="Times New Roman"/>
                <w:sz w:val="28"/>
                <w:szCs w:val="28"/>
                <w:vertAlign w:val="baseline"/>
                <w:lang w:val="en-US" w:eastAsia="zh-CN"/>
              </w:rPr>
              <w:t>2次，本单位、本系统</w:t>
            </w:r>
            <w:r>
              <w:rPr>
                <w:rFonts w:hint="eastAsia" w:ascii="Times New Roman" w:hAnsi="Times New Roman" w:eastAsia="仿宋_GB2312" w:cs="Times New Roman"/>
                <w:sz w:val="28"/>
                <w:szCs w:val="28"/>
                <w:vertAlign w:val="baseline"/>
                <w:lang w:eastAsia="zh-CN"/>
              </w:rPr>
              <w:t>法治</w:t>
            </w:r>
            <w:r>
              <w:rPr>
                <w:rFonts w:hint="default" w:ascii="Times New Roman" w:hAnsi="Times New Roman" w:eastAsia="仿宋_GB2312" w:cs="Times New Roman"/>
                <w:sz w:val="28"/>
                <w:szCs w:val="28"/>
                <w:vertAlign w:val="baseline"/>
                <w:lang w:eastAsia="en-US"/>
              </w:rPr>
              <w:t>宣讲不少于 1 次</w:t>
            </w:r>
            <w:r>
              <w:rPr>
                <w:rFonts w:hint="default" w:ascii="Times New Roman" w:hAnsi="Times New Roman" w:eastAsia="仿宋_GB2312" w:cs="Times New Roman"/>
                <w:sz w:val="28"/>
                <w:szCs w:val="28"/>
                <w:vertAlign w:val="baseline"/>
              </w:rPr>
              <w:t>。</w:t>
            </w:r>
          </w:p>
        </w:tc>
        <w:tc>
          <w:tcPr>
            <w:tcW w:w="553" w:type="pct"/>
            <w:noWrap w:val="0"/>
            <w:vAlign w:val="center"/>
          </w:tcPr>
          <w:p>
            <w:pPr>
              <w:pStyle w:val="2"/>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3</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大力开展宪法进机关活动，深入贯彻落实习近平总书记发表的关于纪念现行宪法公布施行四十周年重要署名文章精神，推动宪法宣传教育常态化长效化</w:t>
            </w:r>
            <w:r>
              <w:rPr>
                <w:rFonts w:hint="default" w:ascii="Times New Roman" w:hAnsi="Times New Roman" w:eastAsia="仿宋_GB2312" w:cs="Times New Roman"/>
                <w:sz w:val="28"/>
                <w:szCs w:val="28"/>
                <w:vertAlign w:val="baseline"/>
                <w:lang w:eastAsia="en-US"/>
              </w:rPr>
              <w:t>。</w:t>
            </w:r>
            <w:r>
              <w:rPr>
                <w:rFonts w:hint="eastAsia" w:ascii="Times New Roman" w:hAnsi="Times New Roman" w:eastAsia="仿宋_GB2312" w:cs="Times New Roman"/>
                <w:sz w:val="28"/>
                <w:szCs w:val="28"/>
                <w:vertAlign w:val="baseline"/>
                <w:lang w:eastAsia="zh-CN"/>
              </w:rPr>
              <w:t>集中组织好本系统“宪法宣传周”活动</w:t>
            </w:r>
            <w:r>
              <w:rPr>
                <w:rFonts w:hint="default" w:ascii="Times New Roman" w:hAnsi="Times New Roman" w:eastAsia="仿宋_GB2312" w:cs="Times New Roman"/>
                <w:sz w:val="28"/>
                <w:szCs w:val="28"/>
                <w:vertAlign w:val="baseline"/>
              </w:rPr>
              <w:t>。</w:t>
            </w:r>
          </w:p>
        </w:tc>
        <w:tc>
          <w:tcPr>
            <w:tcW w:w="553" w:type="pct"/>
            <w:noWrap w:val="0"/>
            <w:vAlign w:val="center"/>
          </w:tcPr>
          <w:p>
            <w:pPr>
              <w:pStyle w:val="2"/>
              <w:rPr>
                <w:rFonts w:hint="default"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4</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eastAsia" w:ascii="Times New Roman" w:hAnsi="Times New Roman" w:eastAsia="仿宋_GB2312" w:cs="Times New Roman"/>
                <w:sz w:val="28"/>
                <w:szCs w:val="28"/>
                <w:vertAlign w:val="baseline"/>
                <w:lang w:eastAsia="zh-CN"/>
              </w:rPr>
              <w:t>深入开展民法典、党内法规和营商环境相关法律法规学习宣传活动</w:t>
            </w:r>
            <w:r>
              <w:rPr>
                <w:rFonts w:hint="eastAsia" w:ascii="Times New Roman" w:hAnsi="Times New Roman" w:eastAsia="仿宋_GB2312" w:cs="Times New Roman"/>
                <w:sz w:val="28"/>
                <w:szCs w:val="28"/>
                <w:vertAlign w:val="baseline"/>
                <w:lang w:eastAsia="en-US"/>
              </w:rPr>
              <w:t>。</w:t>
            </w:r>
          </w:p>
        </w:tc>
        <w:tc>
          <w:tcPr>
            <w:tcW w:w="553" w:type="pct"/>
            <w:noWrap w:val="0"/>
            <w:vAlign w:val="center"/>
          </w:tcPr>
          <w:p>
            <w:pPr>
              <w:spacing w:after="0" w:line="560" w:lineRule="exact"/>
              <w:jc w:val="both"/>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5</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en-US"/>
              </w:rPr>
              <w:t>落实</w:t>
            </w:r>
            <w:r>
              <w:rPr>
                <w:rFonts w:hint="eastAsia" w:ascii="Times New Roman" w:hAnsi="Times New Roman" w:eastAsia="仿宋_GB2312" w:cs="Times New Roman"/>
                <w:sz w:val="28"/>
                <w:szCs w:val="28"/>
                <w:vertAlign w:val="baseline"/>
                <w:lang w:eastAsia="zh-CN"/>
              </w:rPr>
              <w:t>年度干部年终述法制度，在年度述职中加入述法内容</w:t>
            </w:r>
            <w:r>
              <w:rPr>
                <w:rFonts w:hint="default" w:ascii="Times New Roman" w:hAnsi="Times New Roman" w:eastAsia="仿宋_GB2312" w:cs="Times New Roman"/>
                <w:sz w:val="28"/>
                <w:szCs w:val="28"/>
                <w:vertAlign w:val="baseline"/>
                <w:lang w:eastAsia="en-US"/>
              </w:rPr>
              <w:t>。</w:t>
            </w:r>
          </w:p>
        </w:tc>
        <w:tc>
          <w:tcPr>
            <w:tcW w:w="553"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6</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 w:eastAsia="zh-CN"/>
              </w:rPr>
            </w:pPr>
            <w:r>
              <w:rPr>
                <w:rFonts w:hint="eastAsia" w:ascii="Times New Roman" w:hAnsi="Times New Roman" w:eastAsia="仿宋_GB2312" w:cs="Times New Roman"/>
                <w:sz w:val="28"/>
                <w:szCs w:val="28"/>
                <w:vertAlign w:val="baseline"/>
                <w:lang w:eastAsia="zh-CN"/>
              </w:rPr>
              <w:t>落实国家工作人员学法考法制度，组织做好本单位工作人员网上学法，年内课时达标率</w:t>
            </w:r>
            <w:r>
              <w:rPr>
                <w:rFonts w:hint="eastAsia" w:ascii="Times New Roman" w:hAnsi="Times New Roman" w:eastAsia="仿宋_GB2312" w:cs="Times New Roman"/>
                <w:sz w:val="28"/>
                <w:szCs w:val="28"/>
                <w:vertAlign w:val="baseline"/>
                <w:lang w:val="en-US" w:eastAsia="zh-CN"/>
              </w:rPr>
              <w:t>100%，应考人员参考率100%，</w:t>
            </w:r>
            <w:r>
              <w:rPr>
                <w:rFonts w:hint="default" w:ascii="Times New Roman" w:hAnsi="Times New Roman" w:eastAsia="仿宋_GB2312" w:cs="Times New Roman"/>
                <w:sz w:val="28"/>
                <w:szCs w:val="28"/>
                <w:vertAlign w:val="baseline"/>
                <w:lang w:eastAsia="en-US"/>
              </w:rPr>
              <w:t>合格率 100%。</w:t>
            </w:r>
          </w:p>
        </w:tc>
        <w:tc>
          <w:tcPr>
            <w:tcW w:w="553"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7</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 w:eastAsia="zh-CN"/>
              </w:rPr>
            </w:pPr>
            <w:r>
              <w:rPr>
                <w:rFonts w:hint="eastAsia" w:ascii="Times New Roman" w:hAnsi="Times New Roman" w:eastAsia="仿宋_GB2312" w:cs="Times New Roman"/>
                <w:sz w:val="28"/>
                <w:szCs w:val="28"/>
                <w:vertAlign w:val="baseline"/>
                <w:lang w:eastAsia="zh-CN"/>
              </w:rPr>
              <w:t>加强未成年人法制宣传教育，深入开展未成年人保护法、预防未成年人犯罪法等学习宣传</w:t>
            </w:r>
            <w:r>
              <w:rPr>
                <w:rFonts w:hint="default" w:ascii="Times New Roman" w:hAnsi="Times New Roman" w:eastAsia="仿宋_GB2312" w:cs="Times New Roman"/>
                <w:sz w:val="28"/>
                <w:szCs w:val="28"/>
                <w:vertAlign w:val="baseline"/>
                <w:lang w:eastAsia="en-US"/>
              </w:rPr>
              <w:t>。</w:t>
            </w:r>
          </w:p>
        </w:tc>
        <w:tc>
          <w:tcPr>
            <w:tcW w:w="553"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8</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 w:eastAsia="zh-CN"/>
              </w:rPr>
            </w:pPr>
            <w:r>
              <w:rPr>
                <w:rFonts w:hint="default" w:ascii="Times New Roman" w:hAnsi="Times New Roman" w:eastAsia="仿宋_GB2312" w:cs="Times New Roman"/>
                <w:sz w:val="28"/>
                <w:szCs w:val="28"/>
                <w:vertAlign w:val="baseline"/>
                <w:lang w:eastAsia="en-US"/>
              </w:rPr>
              <w:t>落实国家工作人员旁听庭审制度，组织网上集中观看或是现场集中旁听庭审，年内不少于 1 次。</w:t>
            </w:r>
          </w:p>
        </w:tc>
        <w:tc>
          <w:tcPr>
            <w:tcW w:w="553"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9</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 w:eastAsia="zh-CN"/>
              </w:rPr>
            </w:pPr>
            <w:r>
              <w:rPr>
                <w:rFonts w:hint="default" w:ascii="Times New Roman" w:hAnsi="Times New Roman" w:eastAsia="仿宋_GB2312" w:cs="Times New Roman"/>
                <w:sz w:val="28"/>
                <w:szCs w:val="28"/>
                <w:vertAlign w:val="baseline"/>
                <w:lang w:eastAsia="en-US"/>
              </w:rPr>
              <w:t>在部门单位门户网站、自办刊物、官方微博、微信公众号开辟法治宣传专栏（专题），</w:t>
            </w:r>
            <w:r>
              <w:rPr>
                <w:rFonts w:hint="eastAsia" w:ascii="Times New Roman" w:hAnsi="Times New Roman" w:eastAsia="仿宋_GB2312" w:cs="Times New Roman"/>
                <w:sz w:val="28"/>
                <w:szCs w:val="28"/>
                <w:vertAlign w:val="baseline"/>
                <w:lang w:eastAsia="zh-CN"/>
              </w:rPr>
              <w:t>。</w:t>
            </w:r>
            <w:r>
              <w:rPr>
                <w:rFonts w:hint="default" w:ascii="Times New Roman" w:hAnsi="Times New Roman" w:eastAsia="仿宋_GB2312" w:cs="Times New Roman"/>
                <w:sz w:val="28"/>
                <w:szCs w:val="28"/>
                <w:vertAlign w:val="baseline"/>
                <w:lang w:eastAsia="en-US"/>
              </w:rPr>
              <w:t>设置“以案释法”栏目，定期发布法治宣传教育案例和“以案释法”案例,年内向</w:t>
            </w:r>
            <w:r>
              <w:rPr>
                <w:rFonts w:hint="eastAsia" w:ascii="Times New Roman" w:hAnsi="Times New Roman" w:eastAsia="仿宋_GB2312" w:cs="Times New Roman"/>
                <w:sz w:val="28"/>
                <w:szCs w:val="28"/>
                <w:vertAlign w:val="baseline"/>
                <w:lang w:eastAsia="zh-CN"/>
              </w:rPr>
              <w:t>市普法</w:t>
            </w:r>
            <w:r>
              <w:rPr>
                <w:rFonts w:hint="default" w:ascii="Times New Roman" w:hAnsi="Times New Roman" w:eastAsia="仿宋_GB2312" w:cs="Times New Roman"/>
                <w:sz w:val="28"/>
                <w:szCs w:val="28"/>
                <w:vertAlign w:val="baseline"/>
                <w:lang w:eastAsia="en-US"/>
              </w:rPr>
              <w:t xml:space="preserve">办报送不少于 </w:t>
            </w:r>
            <w:r>
              <w:rPr>
                <w:rFonts w:hint="eastAsia" w:ascii="Times New Roman" w:hAnsi="Times New Roman" w:eastAsia="仿宋_GB2312" w:cs="Times New Roman"/>
                <w:sz w:val="28"/>
                <w:szCs w:val="28"/>
                <w:vertAlign w:val="baseline"/>
                <w:lang w:eastAsia="zh-CN"/>
              </w:rPr>
              <w:t>3</w:t>
            </w:r>
            <w:r>
              <w:rPr>
                <w:rFonts w:hint="default" w:ascii="Times New Roman" w:hAnsi="Times New Roman" w:eastAsia="仿宋_GB2312" w:cs="Times New Roman"/>
                <w:sz w:val="28"/>
                <w:szCs w:val="28"/>
                <w:vertAlign w:val="baseline"/>
                <w:lang w:eastAsia="en-US"/>
              </w:rPr>
              <w:t>个典型案例。</w:t>
            </w:r>
          </w:p>
        </w:tc>
        <w:tc>
          <w:tcPr>
            <w:tcW w:w="553"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c>
          <w:tcPr>
            <w:tcW w:w="308"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val="en-US" w:eastAsia="zh-CN"/>
              </w:rPr>
            </w:pPr>
            <w:r>
              <w:rPr>
                <w:rFonts w:hint="eastAsia" w:eastAsia="仿宋_GB2312" w:cs="Times New Roman"/>
                <w:sz w:val="28"/>
                <w:szCs w:val="28"/>
                <w:vertAlign w:val="baseline"/>
                <w:lang w:val="en-US" w:eastAsia="zh-CN"/>
              </w:rPr>
              <w:t>10</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 w:eastAsia="zh-CN"/>
              </w:rPr>
            </w:pPr>
            <w:r>
              <w:rPr>
                <w:rFonts w:hint="eastAsia" w:ascii="Times New Roman" w:hAnsi="Times New Roman" w:eastAsia="仿宋_GB2312" w:cs="Times New Roman"/>
                <w:sz w:val="28"/>
                <w:szCs w:val="28"/>
                <w:vertAlign w:val="baseline"/>
                <w:lang w:eastAsia="zh-CN"/>
              </w:rPr>
              <w:t>根据《</w:t>
            </w:r>
            <w:r>
              <w:rPr>
                <w:rFonts w:hint="eastAsia" w:ascii="Times New Roman" w:hAnsi="Times New Roman" w:eastAsia="仿宋_GB2312" w:cs="Times New Roman"/>
                <w:sz w:val="28"/>
                <w:szCs w:val="28"/>
                <w:vertAlign w:val="baseline"/>
                <w:lang w:val="en-US" w:eastAsia="zh-CN"/>
              </w:rPr>
              <w:t>2023年株洲市推进精准普法与依法治理工作要点》（株普法办〔2023〕3号），深入宣传与社会治理现代化密切相关的法律法规</w:t>
            </w:r>
            <w:r>
              <w:rPr>
                <w:rFonts w:hint="default" w:ascii="Times New Roman" w:hAnsi="Times New Roman" w:eastAsia="仿宋_GB2312" w:cs="Times New Roman"/>
                <w:sz w:val="28"/>
                <w:szCs w:val="28"/>
                <w:vertAlign w:val="baseline"/>
                <w:lang w:eastAsia="en-US"/>
              </w:rPr>
              <w:t>。</w:t>
            </w:r>
          </w:p>
        </w:tc>
        <w:tc>
          <w:tcPr>
            <w:tcW w:w="553" w:type="pct"/>
            <w:noWrap w:val="0"/>
            <w:vAlign w:val="center"/>
          </w:tcPr>
          <w:p>
            <w:pPr>
              <w:spacing w:after="0" w:line="560" w:lineRule="exact"/>
              <w:jc w:val="center"/>
              <w:rPr>
                <w:rFonts w:hint="default" w:ascii="Times New Roman" w:hAnsi="Times New Roman" w:eastAsia="仿宋_GB2312" w:cs="Times New Roman"/>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eastAsia="zh-CN"/>
              </w:rPr>
            </w:pPr>
            <w:r>
              <w:rPr>
                <w:rFonts w:hint="default" w:ascii="Times New Roman" w:hAnsi="Times New Roman" w:eastAsia="仿宋_GB2312" w:cs="Times New Roman"/>
                <w:sz w:val="28"/>
                <w:szCs w:val="28"/>
                <w:vertAlign w:val="baseline"/>
                <w:lang w:eastAsia="zh-CN"/>
              </w:rPr>
              <w:t>个性指标</w:t>
            </w: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640" w:type="pc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eastAsia="en-US"/>
              </w:rPr>
              <w:t>重点宣传《中华人民共和国促进科技成果转化法》《中华人民共和国科学技术进步法》等相关法律法规</w:t>
            </w:r>
            <w:r>
              <w:rPr>
                <w:rFonts w:hint="default" w:ascii="Times New Roman" w:hAnsi="Times New Roman" w:eastAsia="仿宋_GB2312" w:cs="Times New Roman"/>
                <w:sz w:val="28"/>
                <w:szCs w:val="28"/>
                <w:vertAlign w:val="baseline"/>
                <w:lang w:eastAsia="zh-CN"/>
              </w:rPr>
              <w:t>，每年专题宣传不少于</w:t>
            </w:r>
            <w:r>
              <w:rPr>
                <w:rFonts w:hint="default" w:ascii="Times New Roman" w:hAnsi="Times New Roman" w:eastAsia="仿宋_GB2312" w:cs="Times New Roman"/>
                <w:sz w:val="28"/>
                <w:szCs w:val="28"/>
                <w:vertAlign w:val="baseline"/>
                <w:lang w:val="en-US" w:eastAsia="zh-CN"/>
              </w:rPr>
              <w:t>2次。</w:t>
            </w:r>
          </w:p>
        </w:tc>
        <w:tc>
          <w:tcPr>
            <w:tcW w:w="553"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640"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b w:val="0"/>
                <w:bCs w:val="0"/>
                <w:sz w:val="28"/>
                <w:szCs w:val="28"/>
                <w:lang w:val="en-US" w:eastAsia="zh-CN"/>
              </w:rPr>
              <w:t>重点宣传贯彻《中华人民共和国行政许可法》以及外国人来华工作许可有关政策法规，每年组织学法不少于2次。</w:t>
            </w:r>
          </w:p>
        </w:tc>
        <w:tc>
          <w:tcPr>
            <w:tcW w:w="553"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4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640"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b w:val="0"/>
                <w:bCs w:val="0"/>
                <w:sz w:val="28"/>
                <w:szCs w:val="28"/>
                <w:lang w:val="en-US" w:eastAsia="zh-CN"/>
              </w:rPr>
              <w:t>重点贯彻学习《中华人民共和国科学技术普及法》</w:t>
            </w:r>
            <w:r>
              <w:rPr>
                <w:rFonts w:hint="eastAsia" w:eastAsia="仿宋_GB2312" w:cs="Times New Roman"/>
                <w:b w:val="0"/>
                <w:bCs w:val="0"/>
                <w:sz w:val="28"/>
                <w:szCs w:val="28"/>
                <w:lang w:val="en-US" w:eastAsia="zh-CN"/>
              </w:rPr>
              <w:t>《关于新时代进一步加强科学技术普及工作的意见》</w:t>
            </w:r>
            <w:r>
              <w:rPr>
                <w:rFonts w:hint="default" w:ascii="Times New Roman" w:hAnsi="Times New Roman" w:eastAsia="仿宋_GB2312" w:cs="Times New Roman"/>
                <w:b w:val="0"/>
                <w:bCs w:val="0"/>
                <w:sz w:val="28"/>
                <w:szCs w:val="28"/>
                <w:lang w:val="en-US" w:eastAsia="zh-CN"/>
              </w:rPr>
              <w:t>等，开展相关活动不少于1次。</w:t>
            </w:r>
          </w:p>
        </w:tc>
        <w:tc>
          <w:tcPr>
            <w:tcW w:w="553" w:type="pct"/>
            <w:noWrap w:val="0"/>
            <w:vAlign w:val="center"/>
          </w:tcPr>
          <w:p>
            <w:pPr>
              <w:keepNext w:val="0"/>
              <w:keepLines w:val="0"/>
              <w:pageBreakBefore w:val="0"/>
              <w:widowControl w:val="0"/>
              <w:kinsoku/>
              <w:wordWrap/>
              <w:overflowPunct/>
              <w:topLinePunct w:val="0"/>
              <w:autoSpaceDE/>
              <w:autoSpaceDN/>
              <w:bidi w:val="0"/>
              <w:adjustRightInd/>
              <w:snapToGrid/>
              <w:spacing w:after="0" w:line="320" w:lineRule="exact"/>
              <w:jc w:val="both"/>
              <w:textAlignment w:val="auto"/>
              <w:rPr>
                <w:rFonts w:hint="default" w:ascii="Times New Roman" w:hAnsi="Times New Roman" w:eastAsia="仿宋_GB2312" w:cs="Times New Roman"/>
                <w:sz w:val="28"/>
                <w:szCs w:val="28"/>
                <w:vertAlign w:val="baseline"/>
              </w:rPr>
            </w:pPr>
          </w:p>
        </w:tc>
      </w:tr>
    </w:tbl>
    <w:p/>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jlkZTc4ZmUxYjE2MmFkNjhmNDA1MDk2MjIyNTMifQ=="/>
  </w:docVars>
  <w:rsids>
    <w:rsidRoot w:val="638A28D2"/>
    <w:rsid w:val="01066723"/>
    <w:rsid w:val="16816BC3"/>
    <w:rsid w:val="236D0FD0"/>
    <w:rsid w:val="37710FF7"/>
    <w:rsid w:val="3C0D0B4A"/>
    <w:rsid w:val="3D2B38FA"/>
    <w:rsid w:val="3EE87B72"/>
    <w:rsid w:val="42A163B6"/>
    <w:rsid w:val="46B729A3"/>
    <w:rsid w:val="48E76A7C"/>
    <w:rsid w:val="4A064D70"/>
    <w:rsid w:val="4C2B59A2"/>
    <w:rsid w:val="4DA35DAA"/>
    <w:rsid w:val="522F68D9"/>
    <w:rsid w:val="5476494D"/>
    <w:rsid w:val="597C5CCB"/>
    <w:rsid w:val="638A28D2"/>
    <w:rsid w:val="63F2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szCs w:val="32"/>
    </w:rPr>
  </w:style>
  <w:style w:type="paragraph" w:styleId="4">
    <w:name w:val="heading 2"/>
    <w:basedOn w:val="1"/>
    <w:next w:val="1"/>
    <w:link w:val="9"/>
    <w:semiHidden/>
    <w:unhideWhenUsed/>
    <w:qFormat/>
    <w:uiPriority w:val="0"/>
    <w:pPr>
      <w:keepNext/>
      <w:keepLines/>
      <w:spacing w:before="20" w:beforeLines="0" w:beforeAutospacing="0" w:after="20" w:afterLines="0" w:afterAutospacing="0" w:line="413" w:lineRule="auto"/>
      <w:outlineLvl w:val="1"/>
    </w:pPr>
    <w:rPr>
      <w:rFonts w:eastAsia="黑体"/>
    </w:rPr>
  </w:style>
  <w:style w:type="paragraph" w:styleId="5">
    <w:name w:val="heading 3"/>
    <w:basedOn w:val="1"/>
    <w:next w:val="1"/>
    <w:link w:val="10"/>
    <w:semiHidden/>
    <w:unhideWhenUsed/>
    <w:qFormat/>
    <w:uiPriority w:val="0"/>
    <w:pPr>
      <w:keepNext/>
      <w:keepLines/>
      <w:spacing w:before="120" w:beforeLines="0" w:beforeAutospacing="0" w:after="120" w:afterLines="0" w:afterAutospacing="0" w:line="413" w:lineRule="auto"/>
      <w:outlineLvl w:val="2"/>
    </w:pPr>
    <w:rPr>
      <w:rFonts w:ascii="Times New Roman" w:hAnsi="Times New Roman"/>
      <w:b/>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link w:val="4"/>
    <w:uiPriority w:val="0"/>
    <w:rPr>
      <w:rFonts w:ascii="Times New Roman" w:hAnsi="Times New Roman" w:eastAsia="黑体"/>
    </w:rPr>
  </w:style>
  <w:style w:type="character" w:customStyle="1" w:styleId="10">
    <w:name w:val="标题 3 Char"/>
    <w:link w:val="5"/>
    <w:qFormat/>
    <w:uiPriority w:val="0"/>
    <w:rPr>
      <w:rFonts w:ascii="Times New Roman" w:hAnsi="Times New Roman" w:eastAsia="仿宋_GB2312"/>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2023-11-13T02:08:00Z</dcterms:created>
  <dc:creator>憨憨</dc:creator>
  <cp:lastModifiedBy>憨憨</cp:lastModifiedBy>
  <dcterms:modified xsi:type="dcterms:W3CDTF">2023-11-13T02:11:53Z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1D2A6E86808D4565BF69645D94E1F6AF_11</vt:lpwstr>
  </property>
</Properties>
</file>