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方正小标宋简体" w:eastAsia="方正小标宋简体"/>
          <w:sz w:val="44"/>
          <w:szCs w:val="44"/>
        </w:rPr>
      </w:pP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2</w:t>
      </w:r>
      <w:r>
        <w:rPr>
          <w:rFonts w:hint="eastAsia" w:ascii="方正小标宋简体" w:eastAsia="方正小标宋简体"/>
          <w:sz w:val="44"/>
          <w:szCs w:val="44"/>
        </w:rPr>
        <w:t>年县委组织部部门整体支出绩效报告</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一、部门（单位）概况</w:t>
      </w:r>
    </w:p>
    <w:p>
      <w:pPr>
        <w:spacing w:line="520" w:lineRule="exact"/>
        <w:ind w:firstLine="643" w:firstLineChars="200"/>
        <w:rPr>
          <w:rFonts w:ascii="楷体_GB2312" w:eastAsia="楷体_GB2312"/>
          <w:b/>
          <w:sz w:val="32"/>
          <w:szCs w:val="32"/>
        </w:rPr>
      </w:pPr>
      <w:r>
        <w:rPr>
          <w:rFonts w:hint="eastAsia" w:ascii="楷体_GB2312" w:eastAsia="楷体_GB2312"/>
          <w:b/>
          <w:sz w:val="32"/>
          <w:szCs w:val="32"/>
        </w:rPr>
        <w:t>（一）机构组成：</w:t>
      </w:r>
    </w:p>
    <w:p>
      <w:pPr>
        <w:spacing w:after="2" w:line="520" w:lineRule="exact"/>
        <w:ind w:firstLine="63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共攸县县委组织部内设机构包括：中国共产党攸县委员会组织部是县委工作机关，为正科级，作为县委主管组织和干部工作的职能部门。现有在职人员30人，退休人员9人，内设股室12个，分别为：办公室、研究室、组织组、县委党建工作领导小组办公室、公务员管理办公室、干部综合组、企事业干部组、干部监督组、干部教育组、干部信息室、人才工作组、党代表联络办公室。加挂中共攸县直属机关工作委员会、中共攸县县委老干部局、中共攸县县委非公有制经济组织和社会组织工作委员会、攸县公务员局牌子。</w:t>
      </w:r>
    </w:p>
    <w:p>
      <w:pPr>
        <w:shd w:val="clear" w:color="auto" w:fill="FFFFFF"/>
        <w:spacing w:line="520" w:lineRule="exact"/>
        <w:ind w:firstLine="643" w:firstLineChars="200"/>
        <w:outlineLvl w:val="0"/>
        <w:rPr>
          <w:rFonts w:ascii="Times New Roman" w:hAnsi="Times New Roman" w:eastAsia="楷体_GB2312" w:cs="Times New Roman"/>
          <w:b/>
          <w:sz w:val="32"/>
          <w:szCs w:val="32"/>
        </w:rPr>
      </w:pPr>
      <w:r>
        <w:rPr>
          <w:rFonts w:ascii="Times New Roman" w:hAnsi="Times New Roman" w:eastAsia="楷体_GB2312" w:cs="Times New Roman"/>
          <w:b/>
          <w:sz w:val="32"/>
          <w:szCs w:val="32"/>
        </w:rPr>
        <w:t>（二）机构职能：</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1.负责研究和指导全县各级党组织特别是基层组织建设，研究、协调和指导党员教育，主管党员的管理和发展工作，组织并开展新时期党的建设的理论研究。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2.组织制定或参与制定全县组织、干部、人事工作的重要规定和制度，组织实施国家公务员法，负责全县公务员和参照公务员队伍管理具体工作。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3.负责全县各级党组织领导班子的思想政治建设。负责全县干部队伍的宏观管理，负责在职科级领导干部工作实绩的考核，提出县委管理的领导班子考察、调整、配备的意见和建议，承办县委管理干部的任免、调配、交流、出国（境）、副营职以上转业军人安置的有关事项；负责办理市管干部任免、工资、待遇、离（退）休的呈报手续，加强任免前备案干部的管理，负责全县后备干部的备案审查。指导全县的干部档案管理工作，负责全县干部的统计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4.组织落实培养选拔中青年干部、妇女干部、少数民族干部及非党干部的有关工作。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5.负责制定干部教育规划，组织科级干部和一定层次的中青年干部以及组工干部的培训；负责上级调训干部的组织，指导、协调、检查全县干部教育工作。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6.负责全县党的组织工作、干部工作的检查督促，及时向上级组织部门和县委反映重要情况，提出建议，负责全县科级领导干部有关问题的调查核实，抓好干部监督制度的落实和历史遗留问题的审查。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7.调查了解人才队伍状况，组织制定人才政策，并检查贯彻执行情况，参与有突出贡献专家的评选和管理工作。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8.负责组织、指导、协调党代表开展活动，做好党代表日常服务等工作。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9.负责县直机关党的建设，领导县直机关工委所属党组织的工作。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10.负责指导全县非公有制经济组织和社会组织中党组织的设置、管理和活动开展，党的组织制度、党内生活制度的建设，党员的发展、教育、管理和服务工作；协调督促有关部门和单位做好非公有制经济组织和社会组织党的建设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11.贯彻执行党和国家有关老干部工作的方针、政策和法规，制订本县老干部工作的实施方法；指导老干部党组织建设；指导、协助县关心下一代工作委员会和老年大学开展工作。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12.统一管理县委机构编制委员会办公室；宏观指导、管理协调党校、人事工作。 </w:t>
      </w:r>
    </w:p>
    <w:p>
      <w:pPr>
        <w:spacing w:after="2" w:line="520" w:lineRule="exact"/>
        <w:ind w:firstLine="63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13.完成上级和县委交办的其他任务。 </w:t>
      </w:r>
    </w:p>
    <w:p>
      <w:pPr>
        <w:spacing w:line="5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二、部门财政资金收支情况</w:t>
      </w:r>
    </w:p>
    <w:p>
      <w:pPr>
        <w:pStyle w:val="5"/>
        <w:widowControl/>
        <w:spacing w:beforeAutospacing="0" w:afterAutospacing="0" w:line="52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全年支出共</w:t>
      </w:r>
      <w:r>
        <w:rPr>
          <w:rFonts w:hint="eastAsia" w:ascii="仿宋_GB2312" w:hAnsi="仿宋_GB2312" w:eastAsia="仿宋_GB2312" w:cs="仿宋_GB2312"/>
          <w:sz w:val="32"/>
          <w:szCs w:val="32"/>
          <w:lang w:val="en-US" w:eastAsia="zh-CN"/>
        </w:rPr>
        <w:t>510.20</w:t>
      </w:r>
      <w:r>
        <w:rPr>
          <w:rFonts w:hint="eastAsia" w:ascii="Times New Roman" w:hAnsi="Times New Roman" w:eastAsia="仿宋_GB2312"/>
          <w:sz w:val="32"/>
          <w:szCs w:val="32"/>
        </w:rPr>
        <w:t>万元。</w:t>
      </w:r>
    </w:p>
    <w:p>
      <w:pPr>
        <w:spacing w:line="52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三、部门整体支出绩效评价管理工作</w:t>
      </w:r>
    </w:p>
    <w:p>
      <w:pPr>
        <w:shd w:val="clear" w:color="auto" w:fill="FFFFFF"/>
        <w:spacing w:line="520" w:lineRule="exact"/>
        <w:ind w:firstLine="643" w:firstLineChars="200"/>
        <w:outlineLvl w:val="0"/>
        <w:rPr>
          <w:rFonts w:ascii="Times New Roman" w:hAnsi="Times New Roman" w:eastAsia="仿宋_GB2312" w:cs="Times New Roman"/>
          <w:sz w:val="32"/>
          <w:szCs w:val="32"/>
        </w:rPr>
      </w:pPr>
      <w:r>
        <w:rPr>
          <w:rFonts w:hint="eastAsia" w:ascii="楷体_GB2312" w:eastAsia="楷体_GB2312"/>
          <w:b/>
          <w:sz w:val="32"/>
          <w:szCs w:val="32"/>
        </w:rPr>
        <w:t>（一）绩效评价目的</w:t>
      </w:r>
      <w:r>
        <w:rPr>
          <w:rFonts w:hint="eastAsia" w:ascii="Times New Roman" w:hAnsi="Times New Roman" w:eastAsia="仿宋_GB2312" w:cs="Times New Roman"/>
          <w:sz w:val="32"/>
          <w:szCs w:val="32"/>
        </w:rPr>
        <w:t>。</w:t>
      </w:r>
    </w:p>
    <w:p>
      <w:pPr>
        <w:shd w:val="clear" w:color="auto" w:fill="FFFFFF"/>
        <w:spacing w:line="520" w:lineRule="exact"/>
        <w:ind w:firstLine="640" w:firstLineChars="200"/>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开展部门整体支出绩效评价，全面了解分析我单位预算执行及公开、“三公经费”管理、相关政策制度执行、资产管理及部门工作绩效等情况，督促单位进一步围绕绩效目标开展工作，加强财务管理，强化支出责任，提高财政资金使用绩效。</w:t>
      </w:r>
    </w:p>
    <w:p>
      <w:pPr>
        <w:spacing w:line="520" w:lineRule="exact"/>
        <w:ind w:firstLine="630" w:firstLineChars="196"/>
        <w:rPr>
          <w:rFonts w:ascii="楷体_GB2312" w:eastAsia="楷体_GB2312"/>
          <w:b/>
          <w:sz w:val="32"/>
          <w:szCs w:val="32"/>
        </w:rPr>
      </w:pPr>
      <w:r>
        <w:rPr>
          <w:rFonts w:hint="eastAsia" w:ascii="楷体_GB2312" w:eastAsia="楷体_GB2312"/>
          <w:b/>
          <w:sz w:val="32"/>
          <w:szCs w:val="32"/>
        </w:rPr>
        <w:t>（二）执行管理情况</w:t>
      </w:r>
    </w:p>
    <w:p>
      <w:pPr>
        <w:shd w:val="clear" w:color="auto" w:fill="FFFFFF"/>
        <w:spacing w:line="520" w:lineRule="exact"/>
        <w:ind w:firstLine="720"/>
        <w:rPr>
          <w:rFonts w:ascii="仿宋_GB2312" w:hAnsi="方正书宋简体" w:eastAsia="仿宋_GB2312" w:cs="方正书宋简体"/>
          <w:sz w:val="32"/>
          <w:szCs w:val="32"/>
        </w:rPr>
      </w:pPr>
      <w:r>
        <w:rPr>
          <w:rFonts w:hint="eastAsia" w:ascii="仿宋_GB2312" w:hAnsi="方正书宋简体" w:eastAsia="仿宋_GB2312" w:cs="方正书宋简体"/>
          <w:sz w:val="32"/>
          <w:szCs w:val="32"/>
        </w:rPr>
        <w:t>按照县财政的要求，认真总结经验，及时上报相关的用款计划，待财政审核通过后，严格按计划执行，各季度执行情况良好。</w:t>
      </w:r>
    </w:p>
    <w:p>
      <w:pPr>
        <w:spacing w:line="520" w:lineRule="exact"/>
        <w:ind w:firstLine="630" w:firstLineChars="196"/>
        <w:rPr>
          <w:rFonts w:ascii="楷体_GB2312" w:eastAsia="楷体_GB2312"/>
          <w:b/>
          <w:sz w:val="32"/>
          <w:szCs w:val="32"/>
        </w:rPr>
      </w:pPr>
      <w:r>
        <w:rPr>
          <w:rFonts w:hint="eastAsia" w:ascii="楷体_GB2312" w:eastAsia="楷体_GB2312"/>
          <w:b/>
          <w:sz w:val="32"/>
          <w:szCs w:val="32"/>
        </w:rPr>
        <w:t>（三）综合管理情况</w:t>
      </w:r>
    </w:p>
    <w:p>
      <w:pPr>
        <w:spacing w:line="520" w:lineRule="exact"/>
        <w:ind w:firstLine="640" w:firstLineChars="200"/>
        <w:rPr>
          <w:rFonts w:ascii="楷体_GB2312" w:eastAsia="楷体_GB2312"/>
          <w:b/>
          <w:sz w:val="32"/>
          <w:szCs w:val="32"/>
        </w:rPr>
      </w:pPr>
      <w:r>
        <w:rPr>
          <w:rFonts w:hint="eastAsia" w:ascii="仿宋_GB2312" w:hAnsi="方正书宋简体" w:eastAsia="仿宋_GB2312" w:cs="方正书宋简体"/>
          <w:sz w:val="32"/>
          <w:szCs w:val="32"/>
        </w:rPr>
        <w:t xml:space="preserve"> 严格按照工作职责，对账务进行严格管理；按照政府采购政策，认真做好采购实施计划，对国有资产和内控制度进行认真管理，及时进行信息公开，认真做好绩效评价，明确了相关责任人，做好了综合管理工作。</w:t>
      </w:r>
    </w:p>
    <w:p>
      <w:pPr>
        <w:spacing w:line="520" w:lineRule="exact"/>
        <w:ind w:firstLine="643" w:firstLineChars="200"/>
        <w:rPr>
          <w:rFonts w:ascii="楷体_GB2312" w:eastAsia="楷体_GB2312"/>
          <w:b/>
          <w:sz w:val="32"/>
          <w:szCs w:val="32"/>
        </w:rPr>
      </w:pPr>
      <w:r>
        <w:rPr>
          <w:rFonts w:hint="eastAsia" w:ascii="楷体_GB2312" w:eastAsia="楷体_GB2312"/>
          <w:b/>
          <w:sz w:val="32"/>
          <w:szCs w:val="32"/>
        </w:rPr>
        <w:t>（四）整体绩效情况</w:t>
      </w:r>
    </w:p>
    <w:p>
      <w:pPr>
        <w:spacing w:line="580" w:lineRule="exact"/>
        <w:ind w:firstLine="643" w:firstLineChars="200"/>
        <w:rPr>
          <w:rFonts w:ascii="Times New Roman" w:hAnsi="Times New Roman" w:eastAsia="仿宋_GB2312" w:cs="Times New Roman"/>
          <w:spacing w:val="2"/>
          <w:sz w:val="32"/>
          <w:szCs w:val="32"/>
        </w:rPr>
      </w:pPr>
      <w:r>
        <w:rPr>
          <w:rFonts w:hint="eastAsia" w:ascii="楷体_GB2312" w:hAnsi="楷体_GB2312" w:eastAsia="楷体_GB2312" w:cs="楷体_GB2312"/>
          <w:b/>
          <w:bCs/>
          <w:sz w:val="32"/>
          <w:szCs w:val="32"/>
        </w:rPr>
        <w:t>1、加强思想教育，强化理论武装。</w:t>
      </w:r>
      <w:r>
        <w:rPr>
          <w:rFonts w:ascii="Times New Roman" w:hAnsi="Times New Roman" w:eastAsia="仿宋_GB2312" w:cs="Times New Roman"/>
          <w:spacing w:val="2"/>
          <w:sz w:val="32"/>
          <w:szCs w:val="32"/>
        </w:rPr>
        <w:t>把学深悟透党的二十大精神和习近平总书记重要讲话精神作为首要政治任务，健全落实“第一议题”制度和“每周一学”制度，常态化学习党的二十大精神、习近平对组织工作的重要论述等内容，部务会专题学习20次，部机关“夜校”</w:t>
      </w:r>
      <w:r>
        <w:rPr>
          <w:rFonts w:hint="eastAsia" w:ascii="Times New Roman" w:hAnsi="Times New Roman" w:eastAsia="仿宋_GB2312" w:cs="Times New Roman"/>
          <w:spacing w:val="2"/>
          <w:sz w:val="32"/>
          <w:szCs w:val="32"/>
        </w:rPr>
        <w:t>安排</w:t>
      </w:r>
      <w:r>
        <w:rPr>
          <w:rFonts w:ascii="Times New Roman" w:hAnsi="Times New Roman" w:eastAsia="仿宋_GB2312" w:cs="Times New Roman"/>
          <w:spacing w:val="2"/>
          <w:sz w:val="32"/>
          <w:szCs w:val="32"/>
        </w:rPr>
        <w:t>课程40余堂。发挥党建引领作用，结合“三会一课”“主题党日”等组织生活，将习近平新时代中国特色社会主义思想作为广大党员干部的“必修课”，组建了由251名驻村干部、1531名县乡机关干部构成的“专项工作队”，与1521名村（社区）干部一起，构建“上下联动、条块结合”的党的二十大精神宣讲组织体系，以召开党小组（扩大）会议的方式，在屋场、社区、“门前三小”等重点学习阵地上展开宣讲1300余场次，使党的二十大精神走进基层、走进家家户户。强化组织宣传，在人民网、红星网、株洲党建公众号等省市主流平台发布信息文章40余篇，进一步凝聚党员干部共识，坚决捍卫“两个确立”、做到“两个维护”。</w:t>
      </w:r>
    </w:p>
    <w:p>
      <w:pPr>
        <w:spacing w:line="580" w:lineRule="exact"/>
        <w:ind w:firstLine="643" w:firstLineChars="200"/>
        <w:rPr>
          <w:rFonts w:ascii="Times New Roman" w:hAnsi="Times New Roman" w:eastAsia="仿宋_GB2312" w:cs="Times New Roman"/>
          <w:spacing w:val="2"/>
          <w:sz w:val="32"/>
          <w:szCs w:val="32"/>
        </w:rPr>
      </w:pPr>
      <w:r>
        <w:rPr>
          <w:rFonts w:hint="eastAsia" w:ascii="楷体_GB2312" w:hAnsi="楷体_GB2312" w:eastAsia="楷体_GB2312" w:cs="楷体_GB2312"/>
          <w:b/>
          <w:bCs/>
          <w:sz w:val="32"/>
          <w:szCs w:val="32"/>
        </w:rPr>
        <w:t>2、</w:t>
      </w:r>
      <w:r>
        <w:rPr>
          <w:rFonts w:ascii="楷体_GB2312" w:hAnsi="楷体_GB2312" w:eastAsia="楷体_GB2312" w:cs="楷体_GB2312"/>
          <w:b/>
          <w:bCs/>
          <w:sz w:val="32"/>
          <w:szCs w:val="32"/>
        </w:rPr>
        <w:t>抓好队伍建设，提升干部能力。</w:t>
      </w:r>
      <w:r>
        <w:rPr>
          <w:rFonts w:ascii="Times New Roman" w:hAnsi="Times New Roman" w:eastAsia="仿宋_GB2312" w:cs="Times New Roman"/>
          <w:spacing w:val="2"/>
          <w:sz w:val="32"/>
          <w:szCs w:val="32"/>
        </w:rPr>
        <w:t>扎实开展“干部能力提升年”活动，分类分级实施培训，将县级领导及县管主要领导干部、村（社区）党组织书记、驻村帮扶干部、优秀中青年干部、部门业务骨干等纳入重点培训对象，举办主题讲座、专题培训、案例讨论等69场次，各级各部门完成学习培训737期4.3万余人次。深入开展“六个一批”活动，择优推荐选派180余名干部到金融机构、平台公司、重点项目、产业发展等重点领域、重点岗位进行上挂下派锻炼，发现储备优秀年轻干部297名、提拔重用干部60名，进一步提振干部敢闯敢干的信心决心。全力推进干部下沉锻炼，安排1600余名干部下沉到村（社区）和城区小区参与疫情防控、森林防灭火、安全生产、信访维稳等工作，安排年轻干部到村参加党小组（扩大）会议490余场次，切实增强了干部的群众工作能力。持续加强公务员管理工作，完成职级晋升64人，持续激发干部干事热情。做好优秀年轻干部培养工作，开展“选调生国情调研报告评选”，27名选调生完成高质量调研报告6篇，邀请市委组织部领导现场指导选调生国情调研汇报会，获市委组织部领导肯定。发挥老干部余热，</w:t>
      </w:r>
      <w:r>
        <w:rPr>
          <w:rFonts w:hint="eastAsia" w:ascii="Times New Roman" w:hAnsi="Times New Roman" w:eastAsia="仿宋_GB2312" w:cs="Times New Roman"/>
          <w:spacing w:val="2"/>
          <w:sz w:val="32"/>
          <w:szCs w:val="32"/>
        </w:rPr>
        <w:t>新</w:t>
      </w:r>
      <w:r>
        <w:rPr>
          <w:rFonts w:ascii="Times New Roman" w:hAnsi="Times New Roman" w:eastAsia="仿宋_GB2312" w:cs="Times New Roman"/>
          <w:spacing w:val="2"/>
          <w:sz w:val="32"/>
          <w:szCs w:val="32"/>
        </w:rPr>
        <w:t>建</w:t>
      </w:r>
      <w:r>
        <w:rPr>
          <w:rFonts w:hint="eastAsia" w:ascii="Times New Roman" w:hAnsi="Times New Roman" w:eastAsia="仿宋_GB2312" w:cs="Times New Roman"/>
          <w:spacing w:val="2"/>
          <w:sz w:val="32"/>
          <w:szCs w:val="32"/>
        </w:rPr>
        <w:t>6</w:t>
      </w:r>
      <w:r>
        <w:rPr>
          <w:rFonts w:ascii="Times New Roman" w:hAnsi="Times New Roman" w:eastAsia="仿宋_GB2312" w:cs="Times New Roman"/>
          <w:spacing w:val="2"/>
          <w:sz w:val="32"/>
          <w:szCs w:val="32"/>
        </w:rPr>
        <w:t>个老党员之家</w:t>
      </w:r>
      <w:r>
        <w:rPr>
          <w:rFonts w:hint="eastAsia" w:ascii="Times New Roman" w:hAnsi="Times New Roman" w:eastAsia="仿宋_GB2312" w:cs="Times New Roman"/>
          <w:spacing w:val="2"/>
          <w:sz w:val="32"/>
          <w:szCs w:val="32"/>
        </w:rPr>
        <w:t>，</w:t>
      </w:r>
      <w:r>
        <w:rPr>
          <w:rFonts w:ascii="Times New Roman" w:hAnsi="Times New Roman" w:eastAsia="仿宋_GB2312" w:cs="Times New Roman"/>
          <w:spacing w:val="2"/>
          <w:sz w:val="32"/>
          <w:szCs w:val="32"/>
        </w:rPr>
        <w:t>组织老年大学学员参加“喜迎二十大、奋进新征程”文艺活动，获省级优胜奖、精神风貌奖；夏昭炎教授被评选为全国关心下一代“最美五老”；县档案史志局刘湘林参与全省“我看中国特色社会主义新时代”征文活动获二等奖。</w:t>
      </w:r>
    </w:p>
    <w:p>
      <w:pPr>
        <w:spacing w:line="580" w:lineRule="exact"/>
        <w:ind w:firstLine="643" w:firstLineChars="200"/>
        <w:rPr>
          <w:rFonts w:ascii="Times New Roman" w:hAnsi="Times New Roman" w:eastAsia="仿宋_GB2312" w:cs="Times New Roman"/>
          <w:b/>
          <w:bCs/>
          <w:sz w:val="32"/>
          <w:szCs w:val="32"/>
        </w:rPr>
      </w:pPr>
      <w:r>
        <w:rPr>
          <w:rFonts w:hint="eastAsia" w:ascii="楷体_GB2312" w:hAnsi="楷体_GB2312" w:eastAsia="楷体_GB2312" w:cs="楷体_GB2312"/>
          <w:b/>
          <w:bCs/>
          <w:sz w:val="32"/>
          <w:szCs w:val="32"/>
        </w:rPr>
        <w:t>3、</w:t>
      </w:r>
      <w:r>
        <w:rPr>
          <w:rFonts w:ascii="楷体_GB2312" w:hAnsi="楷体_GB2312" w:eastAsia="楷体_GB2312" w:cs="楷体_GB2312"/>
          <w:b/>
          <w:bCs/>
          <w:sz w:val="32"/>
          <w:szCs w:val="32"/>
        </w:rPr>
        <w:t>坚持大抓基层，夯实基层基础。</w:t>
      </w:r>
      <w:r>
        <w:rPr>
          <w:rFonts w:ascii="Times New Roman" w:hAnsi="Times New Roman" w:eastAsia="仿宋_GB2312" w:cs="Times New Roman"/>
          <w:spacing w:val="2"/>
          <w:sz w:val="32"/>
          <w:szCs w:val="32"/>
        </w:rPr>
        <w:t>坚持大抓基层的鲜明导向，不断推进基层党组织整建提质工作走深走实，开展反诈、禁毒宣传600余场次，挽回损失100余万元，劝返滞留境外涉诈高危人员11人，完成软弱涣散党组织整顿摘帽4个。扎实开展“三项整治”行动，开展十三届县委第一轮巡察党建问题“回头看”督查，确保问题全部整改到位。强化组织建设，优化党小组设置662个，推动干部下沉一线参会指导，在屋场、门前三小、田间地头累计召开党小组（扩大）会议3000余场，结合“五个到户”工作，推动解决各类民生问题1700余个。积极推动“两新”党组织、流动党支部党</w:t>
      </w:r>
      <w:r>
        <w:rPr>
          <w:rFonts w:hint="eastAsia" w:ascii="Times New Roman" w:hAnsi="Times New Roman" w:eastAsia="仿宋_GB2312" w:cs="Times New Roman"/>
          <w:spacing w:val="2"/>
          <w:sz w:val="32"/>
          <w:szCs w:val="32"/>
        </w:rPr>
        <w:t>的建设</w:t>
      </w:r>
      <w:r>
        <w:rPr>
          <w:rFonts w:ascii="Times New Roman" w:hAnsi="Times New Roman" w:eastAsia="仿宋_GB2312" w:cs="Times New Roman"/>
          <w:spacing w:val="2"/>
          <w:sz w:val="32"/>
          <w:szCs w:val="32"/>
        </w:rPr>
        <w:t>，两新党组织组建攻坚行动在全市率先实现覆盖率100%，攸县驻长沙流动党总支部“一中心五基地”助力乡村振兴模式获得人民日报和湖南卫视报道推介，有效推动各领域各级党组织全面进步全面过硬。持续提升基层治理能力，疫情防控期间，下发《关于在从紧从严从快打赢疫情防控阻击战中充分发挥党组织战斗堡垒作用和党员先锋模范作用的倡议书》，广泛动员各级党组织、广大党员干部学习贯彻落实有关疫情防控工作要求。强化产业建设，开展“百村百企大调研”活动，精准选派63名科技特派员，成功申报中央扶持村级集体经济项目9个，网岭镇罗家坪村典型经验入选《湖南集体经济百村案例》。依托“2+1”联建共建机制，强力推动全县43个集体经济“薄弱村”完成“清零”任务。</w:t>
      </w:r>
    </w:p>
    <w:p>
      <w:pPr>
        <w:spacing w:line="580" w:lineRule="exact"/>
        <w:ind w:firstLine="643" w:firstLineChars="200"/>
        <w:rPr>
          <w:rFonts w:hint="eastAsia" w:ascii="Times New Roman" w:hAnsi="Times New Roman" w:eastAsia="仿宋_GB2312" w:cs="Times New Roman"/>
          <w:spacing w:val="2"/>
          <w:sz w:val="32"/>
          <w:szCs w:val="32"/>
        </w:rPr>
      </w:pPr>
      <w:r>
        <w:rPr>
          <w:rFonts w:hint="eastAsia" w:ascii="楷体_GB2312" w:hAnsi="楷体_GB2312" w:eastAsia="楷体_GB2312" w:cs="楷体_GB2312"/>
          <w:b/>
          <w:bCs/>
          <w:sz w:val="32"/>
          <w:szCs w:val="32"/>
        </w:rPr>
        <w:t>4、</w:t>
      </w:r>
      <w:r>
        <w:rPr>
          <w:rFonts w:ascii="楷体_GB2312" w:hAnsi="楷体_GB2312" w:eastAsia="楷体_GB2312" w:cs="楷体_GB2312"/>
          <w:b/>
          <w:bCs/>
          <w:sz w:val="32"/>
          <w:szCs w:val="32"/>
        </w:rPr>
        <w:t>聚焦人才培</w:t>
      </w:r>
      <w:r>
        <w:rPr>
          <w:rFonts w:hint="eastAsia" w:ascii="楷体_GB2312" w:hAnsi="楷体_GB2312" w:eastAsia="楷体_GB2312" w:cs="楷体_GB2312"/>
          <w:b/>
          <w:bCs/>
          <w:sz w:val="32"/>
          <w:szCs w:val="32"/>
        </w:rPr>
        <w:t>养</w:t>
      </w:r>
      <w:r>
        <w:rPr>
          <w:rFonts w:ascii="楷体_GB2312" w:hAnsi="楷体_GB2312" w:eastAsia="楷体_GB2312" w:cs="楷体_GB2312"/>
          <w:b/>
          <w:bCs/>
          <w:sz w:val="32"/>
          <w:szCs w:val="32"/>
        </w:rPr>
        <w:t>，激</w:t>
      </w:r>
      <w:r>
        <w:rPr>
          <w:rFonts w:hint="eastAsia" w:ascii="楷体_GB2312" w:hAnsi="楷体_GB2312" w:eastAsia="楷体_GB2312" w:cs="楷体_GB2312"/>
          <w:b/>
          <w:bCs/>
          <w:sz w:val="32"/>
          <w:szCs w:val="32"/>
        </w:rPr>
        <w:t>活</w:t>
      </w:r>
      <w:r>
        <w:rPr>
          <w:rFonts w:ascii="楷体_GB2312" w:hAnsi="楷体_GB2312" w:eastAsia="楷体_GB2312" w:cs="楷体_GB2312"/>
          <w:b/>
          <w:bCs/>
          <w:sz w:val="32"/>
          <w:szCs w:val="32"/>
        </w:rPr>
        <w:t>发展动力。</w:t>
      </w:r>
      <w:r>
        <w:rPr>
          <w:rFonts w:ascii="Times New Roman" w:hAnsi="Times New Roman" w:eastAsia="仿宋_GB2312" w:cs="Times New Roman"/>
          <w:spacing w:val="2"/>
          <w:sz w:val="32"/>
          <w:szCs w:val="32"/>
        </w:rPr>
        <w:t>结合发展实际，拓宽引才渠道，实施攸子回乡工程，引进返乡创业项目182个；完善攸县籍返乡优秀人才信息库，摸排出各类返乡人才1265人；开展第五季“实训攸州”活动，吸引260名攸县籍在校高校学生参训。围绕乡村振兴，盘活人才资源，选派8家特色农业、工业企业负责人参加市乡村振兴人才集训营，提振企业发展信心；继续承办湘赣边第二届直播电商人才创新创业大赛，吸引近300名选手参赛，进一步培育壮大电商人才队伍</w:t>
      </w:r>
      <w:r>
        <w:rPr>
          <w:rFonts w:hint="eastAsia" w:ascii="Times New Roman" w:hAnsi="Times New Roman" w:eastAsia="仿宋_GB2312" w:cs="Times New Roman"/>
          <w:spacing w:val="2"/>
          <w:sz w:val="32"/>
          <w:szCs w:val="32"/>
        </w:rPr>
        <w:t>，推动了攸县农副产品走出国门，其中攸县米粉远销美国</w:t>
      </w:r>
      <w:r>
        <w:rPr>
          <w:rFonts w:ascii="Times New Roman" w:hAnsi="Times New Roman" w:eastAsia="仿宋_GB2312" w:cs="Times New Roman"/>
          <w:spacing w:val="2"/>
          <w:sz w:val="32"/>
          <w:szCs w:val="32"/>
        </w:rPr>
        <w:t>；组织开展攸县首届“豆腐工匠”评选活动，评选“豆腐工匠”4</w:t>
      </w:r>
      <w:r>
        <w:rPr>
          <w:rFonts w:hint="eastAsia" w:ascii="Times New Roman" w:hAnsi="Times New Roman" w:eastAsia="仿宋_GB2312" w:cs="Times New Roman"/>
          <w:spacing w:val="2"/>
          <w:sz w:val="32"/>
          <w:szCs w:val="32"/>
        </w:rPr>
        <w:t>0</w:t>
      </w:r>
      <w:r>
        <w:rPr>
          <w:rFonts w:ascii="Times New Roman" w:hAnsi="Times New Roman" w:eastAsia="仿宋_GB2312" w:cs="Times New Roman"/>
          <w:spacing w:val="2"/>
          <w:sz w:val="32"/>
          <w:szCs w:val="32"/>
        </w:rPr>
        <w:t>名，进一步丰富提升品牌知名度，促进特色农业产业发展。聚焦人才需求，做好服务保障，严格按照相关文件规定，发放各类人才补贴386万元；进一步优化人才公寓服务保障，全新打造攸县青年人才驿站，为来攸求职青年人才提供服务保障。</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四、评价结论及建议</w:t>
      </w:r>
    </w:p>
    <w:p>
      <w:pPr>
        <w:spacing w:line="520" w:lineRule="exact"/>
        <w:ind w:firstLine="472" w:firstLineChars="147"/>
        <w:rPr>
          <w:rFonts w:ascii="楷体_GB2312" w:eastAsia="楷体_GB2312"/>
          <w:b/>
          <w:sz w:val="32"/>
          <w:szCs w:val="32"/>
        </w:rPr>
      </w:pPr>
      <w:r>
        <w:rPr>
          <w:rFonts w:hint="eastAsia" w:ascii="楷体_GB2312" w:eastAsia="楷体_GB2312"/>
          <w:b/>
          <w:sz w:val="32"/>
          <w:szCs w:val="32"/>
        </w:rPr>
        <w:t>（一）评价结论：</w:t>
      </w:r>
      <w:r>
        <w:rPr>
          <w:rFonts w:hint="eastAsia" w:ascii="Times New Roman" w:hAnsi="Times New Roman" w:eastAsia="仿宋_GB2312" w:cs="Times New Roman"/>
          <w:sz w:val="32"/>
          <w:szCs w:val="32"/>
        </w:rPr>
        <w:t>预算执行情况良好，无不良记录及违规违纪行为，预算支出和决算支出情况基本相符。</w:t>
      </w:r>
    </w:p>
    <w:p>
      <w:pPr>
        <w:spacing w:line="520" w:lineRule="exact"/>
        <w:ind w:firstLine="472" w:firstLineChars="147"/>
        <w:rPr>
          <w:rFonts w:ascii="楷体_GB2312" w:eastAsia="楷体_GB2312"/>
          <w:b/>
          <w:sz w:val="32"/>
          <w:szCs w:val="32"/>
        </w:rPr>
      </w:pPr>
      <w:r>
        <w:rPr>
          <w:rFonts w:hint="eastAsia" w:ascii="楷体_GB2312" w:eastAsia="楷体_GB2312"/>
          <w:b/>
          <w:sz w:val="32"/>
          <w:szCs w:val="32"/>
        </w:rPr>
        <w:t>（二）存在问题：暂未发现</w:t>
      </w:r>
      <w:r>
        <w:rPr>
          <w:rFonts w:hint="eastAsia" w:ascii="Times New Roman" w:hAnsi="Times New Roman" w:eastAsia="仿宋_GB2312" w:cs="Times New Roman"/>
          <w:sz w:val="32"/>
          <w:szCs w:val="32"/>
        </w:rPr>
        <w:t>。</w:t>
      </w:r>
    </w:p>
    <w:p>
      <w:pPr>
        <w:spacing w:line="520" w:lineRule="exact"/>
        <w:ind w:firstLine="472" w:firstLineChars="147"/>
        <w:rPr>
          <w:rFonts w:ascii="Times New Roman" w:hAnsi="Times New Roman" w:eastAsia="仿宋_GB2312" w:cs="Times New Roman"/>
          <w:sz w:val="32"/>
          <w:szCs w:val="32"/>
        </w:rPr>
      </w:pPr>
      <w:r>
        <w:rPr>
          <w:rFonts w:hint="eastAsia" w:ascii="楷体_GB2312" w:eastAsia="楷体_GB2312"/>
          <w:b/>
          <w:sz w:val="32"/>
          <w:szCs w:val="32"/>
        </w:rPr>
        <w:t>（三）改进建议：暂无</w:t>
      </w:r>
      <w:r>
        <w:rPr>
          <w:rFonts w:hint="eastAsia" w:ascii="Times New Roman" w:hAnsi="Times New Roman" w:eastAsia="仿宋_GB2312" w:cs="Times New Roman"/>
          <w:sz w:val="32"/>
          <w:szCs w:val="32"/>
        </w:rPr>
        <w:t>。</w:t>
      </w:r>
    </w:p>
    <w:p>
      <w:pPr>
        <w:spacing w:line="520" w:lineRule="exact"/>
        <w:jc w:val="right"/>
        <w:rPr>
          <w:rFonts w:ascii="Times New Roman" w:hAnsi="Times New Roman" w:eastAsia="仿宋_GB2312" w:cs="Times New Roman"/>
          <w:sz w:val="32"/>
          <w:szCs w:val="32"/>
        </w:rPr>
      </w:pPr>
    </w:p>
    <w:p>
      <w:pPr>
        <w:spacing w:line="520" w:lineRule="exact"/>
        <w:jc w:val="right"/>
        <w:rPr>
          <w:rFonts w:ascii="Times New Roman" w:hAnsi="Times New Roman" w:eastAsia="仿宋_GB2312" w:cs="Times New Roman"/>
          <w:sz w:val="32"/>
          <w:szCs w:val="32"/>
        </w:rPr>
      </w:pPr>
    </w:p>
    <w:p>
      <w:pPr>
        <w:spacing w:line="520" w:lineRule="exact"/>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中共攸县县委组织部</w:t>
      </w:r>
    </w:p>
    <w:p>
      <w:pPr>
        <w:spacing w:line="520" w:lineRule="exact"/>
        <w:jc w:val="right"/>
      </w:pPr>
      <w:bookmarkStart w:id="0" w:name="_GoBack"/>
      <w:bookmarkEnd w:id="0"/>
    </w:p>
    <w:sectPr>
      <w:footerReference r:id="rId3" w:type="default"/>
      <w:pgSz w:w="11906" w:h="16838"/>
      <w:pgMar w:top="1786" w:right="1474"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书宋简体">
    <w:altName w:val="宋体"/>
    <w:panose1 w:val="00000000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931845"/>
    </w:sdtPr>
    <w:sdtContent>
      <w:p>
        <w:pPr>
          <w:pStyle w:val="3"/>
          <w:jc w:val="center"/>
        </w:pPr>
        <w:r>
          <w:rPr>
            <w:rFonts w:ascii="Times New Roman" w:hAnsi="Times New Roman" w:cs="Times New Roman"/>
            <w:sz w:val="28"/>
          </w:rPr>
          <w:fldChar w:fldCharType="begin"/>
        </w:r>
        <w:r>
          <w:rPr>
            <w:rFonts w:ascii="Times New Roman" w:hAnsi="Times New Roman" w:cs="Times New Roman"/>
            <w:sz w:val="28"/>
          </w:rPr>
          <w:instrText xml:space="preserve"> PAGE   \* MERGEFORMAT </w:instrText>
        </w:r>
        <w:r>
          <w:rPr>
            <w:rFonts w:ascii="Times New Roman" w:hAnsi="Times New Roman" w:cs="Times New Roman"/>
            <w:sz w:val="28"/>
          </w:rPr>
          <w:fldChar w:fldCharType="separate"/>
        </w:r>
        <w:r>
          <w:rPr>
            <w:rFonts w:ascii="Times New Roman" w:hAnsi="Times New Roman" w:cs="Times New Roman"/>
            <w:sz w:val="28"/>
            <w:lang w:val="zh-CN"/>
          </w:rPr>
          <w:t>4</w:t>
        </w:r>
        <w:r>
          <w:rPr>
            <w:rFonts w:ascii="Times New Roman" w:hAnsi="Times New Roman" w:cs="Times New Roman"/>
            <w:sz w:val="28"/>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MTg2NDJlOWM4MTdkZGQxZGMyZGJjNmI0ZDdkZjIifQ=="/>
  </w:docVars>
  <w:rsids>
    <w:rsidRoot w:val="00D31D50"/>
    <w:rsid w:val="000E1011"/>
    <w:rsid w:val="00120C68"/>
    <w:rsid w:val="00323B43"/>
    <w:rsid w:val="003D37D8"/>
    <w:rsid w:val="00416867"/>
    <w:rsid w:val="00426133"/>
    <w:rsid w:val="004358AB"/>
    <w:rsid w:val="00633E31"/>
    <w:rsid w:val="006A2A90"/>
    <w:rsid w:val="008B7726"/>
    <w:rsid w:val="009C01C0"/>
    <w:rsid w:val="00D31D50"/>
    <w:rsid w:val="1F021E59"/>
    <w:rsid w:val="31B820D7"/>
    <w:rsid w:val="4C121F00"/>
    <w:rsid w:val="714B5C31"/>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pPr>
      <w:spacing w:after="0"/>
    </w:pPr>
    <w:rPr>
      <w:sz w:val="18"/>
      <w:szCs w:val="18"/>
    </w:rPr>
  </w:style>
  <w:style w:type="paragraph" w:styleId="3">
    <w:name w:val="footer"/>
    <w:basedOn w:val="1"/>
    <w:link w:val="9"/>
    <w:unhideWhenUsed/>
    <w:qFormat/>
    <w:uiPriority w:val="99"/>
    <w:pPr>
      <w:tabs>
        <w:tab w:val="center" w:pos="4153"/>
        <w:tab w:val="right" w:pos="8306"/>
      </w:tabs>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qFormat/>
    <w:uiPriority w:val="0"/>
    <w:pPr>
      <w:widowControl w:val="0"/>
      <w:adjustRightInd/>
      <w:snapToGrid/>
      <w:spacing w:beforeAutospacing="1" w:after="0" w:afterAutospacing="1"/>
    </w:pPr>
    <w:rPr>
      <w:rFonts w:cs="Times New Roman" w:asciiTheme="minorHAnsi" w:hAnsiTheme="minorHAnsi" w:eastAsiaTheme="minorEastAsia"/>
      <w:sz w:val="24"/>
      <w:szCs w:val="24"/>
    </w:rPr>
  </w:style>
  <w:style w:type="character" w:customStyle="1" w:styleId="8">
    <w:name w:val="页眉 Char"/>
    <w:basedOn w:val="6"/>
    <w:link w:val="4"/>
    <w:semiHidden/>
    <w:qFormat/>
    <w:uiPriority w:val="99"/>
    <w:rPr>
      <w:rFonts w:ascii="Tahoma" w:hAnsi="Tahoma"/>
      <w:sz w:val="18"/>
      <w:szCs w:val="18"/>
    </w:rPr>
  </w:style>
  <w:style w:type="character" w:customStyle="1" w:styleId="9">
    <w:name w:val="页脚 Char"/>
    <w:basedOn w:val="6"/>
    <w:link w:val="3"/>
    <w:qFormat/>
    <w:uiPriority w:val="99"/>
    <w:rPr>
      <w:rFonts w:ascii="Tahoma" w:hAnsi="Tahoma"/>
      <w:sz w:val="18"/>
      <w:szCs w:val="18"/>
    </w:rPr>
  </w:style>
  <w:style w:type="character" w:customStyle="1" w:styleId="10">
    <w:name w:val="批注框文本 Char"/>
    <w:basedOn w:val="6"/>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538</Words>
  <Characters>3068</Characters>
  <Lines>25</Lines>
  <Paragraphs>7</Paragraphs>
  <TotalTime>0</TotalTime>
  <ScaleCrop>false</ScaleCrop>
  <LinksUpToDate>false</LinksUpToDate>
  <CharactersWithSpaces>3599</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2023-10-09T07:55:06Z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y fmtid="{D5CDD505-2E9C-101B-9397-08002B2CF9AE}" pid="3" name="ICV">
    <vt:lpwstr>FD001917CB084427B554701F878C731A_13</vt:lpwstr>
  </property>
</Properties>
</file>