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600" w:lineRule="exact"/>
        <w:ind w:firstLine="720" w:firstLineChars="200"/>
        <w:jc w:val="center"/>
        <w:rPr>
          <w:rFonts w:hint="default" w:ascii="Times New Roman" w:hAnsi="Times New Roman" w:eastAsia="方正小标宋简体" w:cs="Times New Roman"/>
          <w:b w:val="0"/>
          <w:bCs/>
          <w:sz w:val="36"/>
          <w:szCs w:val="36"/>
          <w:lang w:val="en-US" w:eastAsia="zh-CN"/>
        </w:rPr>
      </w:pPr>
      <w:r>
        <w:rPr>
          <w:rFonts w:hint="eastAsia" w:ascii="Times New Roman" w:hAnsi="Times New Roman" w:eastAsia="方正小标宋简体" w:cs="Times New Roman"/>
          <w:b w:val="0"/>
          <w:bCs/>
          <w:sz w:val="36"/>
          <w:szCs w:val="36"/>
          <w:lang w:eastAsia="zh-CN"/>
        </w:rPr>
        <w:t>攸县县委办公室</w:t>
      </w:r>
      <w:r>
        <w:rPr>
          <w:rFonts w:hint="default" w:ascii="Times New Roman" w:hAnsi="Times New Roman" w:eastAsia="方正小标宋简体" w:cs="Times New Roman"/>
          <w:b w:val="0"/>
          <w:bCs/>
          <w:sz w:val="36"/>
          <w:szCs w:val="36"/>
        </w:rPr>
        <w:t>20</w:t>
      </w:r>
      <w:r>
        <w:rPr>
          <w:rFonts w:hint="default" w:ascii="Times New Roman" w:hAnsi="Times New Roman" w:eastAsia="方正小标宋简体" w:cs="Times New Roman"/>
          <w:b w:val="0"/>
          <w:bCs/>
          <w:sz w:val="36"/>
          <w:szCs w:val="36"/>
          <w:lang w:val="en-US" w:eastAsia="zh-CN"/>
        </w:rPr>
        <w:t>2</w:t>
      </w:r>
      <w:r>
        <w:rPr>
          <w:rFonts w:hint="eastAsia" w:ascii="Times New Roman" w:hAnsi="Times New Roman" w:eastAsia="方正小标宋简体" w:cs="Times New Roman"/>
          <w:b w:val="0"/>
          <w:bCs/>
          <w:sz w:val="36"/>
          <w:szCs w:val="36"/>
          <w:lang w:val="en-US" w:eastAsia="zh-CN"/>
        </w:rPr>
        <w:t>2</w:t>
      </w:r>
      <w:r>
        <w:rPr>
          <w:rFonts w:hint="default" w:ascii="Times New Roman" w:hAnsi="Times New Roman" w:eastAsia="方正小标宋简体" w:cs="Times New Roman"/>
          <w:b w:val="0"/>
          <w:bCs/>
          <w:sz w:val="36"/>
          <w:szCs w:val="36"/>
        </w:rPr>
        <w:t>年部门整体支出绩效报告</w:t>
      </w:r>
    </w:p>
    <w:p>
      <w:pPr>
        <w:pStyle w:val="3"/>
        <w:spacing w:line="600" w:lineRule="exact"/>
        <w:ind w:firstLine="2250" w:firstLineChars="750"/>
        <w:rPr>
          <w:rFonts w:hint="default" w:ascii="Times New Roman" w:hAnsi="Times New Roman" w:cs="Times New Roman"/>
          <w:sz w:val="30"/>
          <w:szCs w:val="30"/>
        </w:rPr>
      </w:pPr>
    </w:p>
    <w:p>
      <w:pPr>
        <w:pStyle w:val="3"/>
        <w:spacing w:line="600" w:lineRule="exact"/>
        <w:ind w:firstLine="562" w:firstLineChars="200"/>
        <w:rPr>
          <w:rFonts w:hint="eastAsia" w:ascii="黑体" w:hAnsi="黑体" w:eastAsia="黑体" w:cs="黑体"/>
          <w:b/>
          <w:bCs/>
          <w:sz w:val="28"/>
          <w:szCs w:val="28"/>
        </w:rPr>
      </w:pPr>
      <w:r>
        <w:rPr>
          <w:rFonts w:hint="eastAsia" w:ascii="黑体" w:hAnsi="黑体" w:eastAsia="黑体" w:cs="黑体"/>
          <w:b/>
          <w:bCs/>
          <w:sz w:val="28"/>
          <w:szCs w:val="28"/>
        </w:rPr>
        <w:t>一、部门（单位）概况</w:t>
      </w:r>
    </w:p>
    <w:p>
      <w:pPr>
        <w:numPr>
          <w:ilvl w:val="0"/>
          <w:numId w:val="0"/>
        </w:numPr>
        <w:ind w:firstLine="843" w:firstLineChars="300"/>
        <w:rPr>
          <w:rFonts w:hint="eastAsia" w:ascii="仿宋" w:hAnsi="仿宋" w:eastAsia="仿宋" w:cs="仿宋"/>
          <w:sz w:val="28"/>
          <w:szCs w:val="28"/>
        </w:rPr>
      </w:pPr>
      <w:r>
        <w:rPr>
          <w:rFonts w:hint="eastAsia" w:ascii="仿宋" w:hAnsi="仿宋" w:eastAsia="仿宋" w:cs="仿宋"/>
          <w:b/>
          <w:bCs/>
          <w:kern w:val="0"/>
          <w:sz w:val="28"/>
          <w:szCs w:val="28"/>
          <w:lang w:eastAsia="zh-CN"/>
        </w:rPr>
        <w:t>（一）</w:t>
      </w:r>
      <w:r>
        <w:rPr>
          <w:rFonts w:hint="eastAsia" w:ascii="仿宋" w:hAnsi="仿宋" w:eastAsia="仿宋" w:cs="仿宋"/>
          <w:b/>
          <w:bCs/>
          <w:kern w:val="0"/>
          <w:sz w:val="28"/>
          <w:szCs w:val="28"/>
        </w:rPr>
        <w:t>机构职能：</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（一）负责服务县委加强对全县一切工作的领导，承担县委重要会议和重大活动的组织或服务，统筹安排县领导重要公务活动，办理县委和县委领导同志交办的工作事项。</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二）负责县委文件和县委领导文稿的起草、校核、印发工作；负责县委日常文书处理、档案管理和开发利用工作，负责党内规章制度和规范性文件的计划管理、审核、备案、清理等工作；统筹协调和督促指导全县党务公开工作。</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（三）负责以县委名义向上级党委请示报告的归口、把关工作，负责接受办理向县委请示报告的重大事项，并统筹协调和督促指导全县党组织的请示报告工作。</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（四）围绕县委的工作部署，对涉及全县政治、经济、社会发展和党的建设等全局性重大问题开展调查研究，为县委科学决策提出建议、预案和依据。</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五）负责中央和省委、市委、县委重大方针政策、重要工作部署和领导同志重要指示、批件贯彻落实情况的督促检查；负责县委及县委各工作机关年度督查检查考核计划的归口审核和全县性年度督查检查考核计划的统一报批、监督实施；牵头抓好党群部门承办的人大代表有关建议、政协委员有关提案等的交办、督查工作；协助县委领导处理群众来信来访工作。</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（六）及时、准确、全面地向中央、省委、市委、县委报送信息，反映有关动态。 承担县绩效评估委员会办公室的日常工作；负责市委市政府对我县党委政府绩效评估指标的分解、督查、协调工作；负责全县绩效评估工作的组织实施。 负责县委的值班联络和机要通讯工作，确保联络畅通、准确、安全。 承担县委密码工作领导小组的日常工作；负责全县党政系统机要密码通信和密码管理；负责全县商用密码推广、管理工作。</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七）承担县党政系统信息化工作领导小组的日常工作；负责全县电子政务内网、党政专用通信网以及党委系统办公自动化的规划、建设和管理；负责全县电子公文管理工作，协同做好党政机关信息系统安全可靠应用推进等工作。 协调县委对重大工作领导的各委员会、领导小组及其办公室的相关工作。统一领导和管理县委保密委员会办公室；管理县档案馆。 负责全县档案事业的发展规划、组织协调，全县档案工作的监督和指导，全县档案法规的宣传教育以及依法查处档案违法行为。</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八）承担县委外事工作委员会日常工作；负责制定全县外事、港澳工作发展规划，组织管理、联络协调相关事务，处理涉及到的事宜；统筹协调重要外宾、港澳同胞的来访接待；审核、审批全县因公出国、赴港澳，以及外国人来攸签证邀请核实等工作。 负责全县对台工作的组织、管理和协调；负责因公赴台预审、报批工作；涉台事件处理等工作；做好台胞、台属的有关工作。负责组织实施全面小康攻坚工作。 负责指导和加强全县党委办公室系统的业务工作及队伍建设。 负责县委机关党委的日常工作。负责县委机关的行政后勤管理和保障工作。</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b/>
          <w:i w:val="0"/>
          <w:caps w:val="0"/>
          <w:color w:val="000000"/>
          <w:spacing w:val="0"/>
          <w:sz w:val="28"/>
          <w:szCs w:val="28"/>
          <w:lang w:eastAsia="zh-CN"/>
        </w:rPr>
        <w:t>（</w:t>
      </w:r>
      <w:r>
        <w:rPr>
          <w:rFonts w:hint="eastAsia" w:ascii="仿宋" w:hAnsi="仿宋" w:eastAsia="仿宋" w:cs="仿宋"/>
          <w:b/>
          <w:i w:val="0"/>
          <w:caps w:val="0"/>
          <w:color w:val="000000"/>
          <w:spacing w:val="0"/>
          <w:sz w:val="28"/>
          <w:szCs w:val="28"/>
        </w:rPr>
        <w:t>二</w:t>
      </w:r>
      <w:r>
        <w:rPr>
          <w:rFonts w:hint="eastAsia" w:ascii="仿宋" w:hAnsi="仿宋" w:eastAsia="仿宋" w:cs="仿宋"/>
          <w:b/>
          <w:i w:val="0"/>
          <w:caps w:val="0"/>
          <w:color w:val="000000"/>
          <w:spacing w:val="0"/>
          <w:sz w:val="28"/>
          <w:szCs w:val="28"/>
          <w:lang w:eastAsia="zh-CN"/>
        </w:rPr>
        <w:t>）</w:t>
      </w:r>
      <w:r>
        <w:rPr>
          <w:rFonts w:hint="eastAsia" w:ascii="仿宋" w:hAnsi="仿宋" w:eastAsia="仿宋" w:cs="仿宋"/>
          <w:b/>
          <w:i w:val="0"/>
          <w:caps w:val="0"/>
          <w:color w:val="000000"/>
          <w:spacing w:val="0"/>
          <w:sz w:val="28"/>
          <w:szCs w:val="28"/>
        </w:rPr>
        <w:t>、机构设置及决算单位构成</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b/>
          <w:i w:val="0"/>
          <w:caps w:val="0"/>
          <w:color w:val="000000"/>
          <w:spacing w:val="0"/>
          <w:sz w:val="28"/>
          <w:szCs w:val="28"/>
        </w:rPr>
        <w:t>（一）内设机构设置</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中共攸县县委办公室内设机构包括：内设9个科室。分别为：政策研究室（小康办公室），督查室，秘书室，信息室，绩效评估管理办公室，行政事务室，机要保密室，港澳台事务办公室，外事事务工作室。中共攸县县委办公室现有人员编制42人，其中：行政编制35人，事业编制10人。实有人员54人,其中在职人员32人，离休人员1人，退休人员14人，临聘人员1人。遗属补助人员4人。</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b/>
          <w:i w:val="0"/>
          <w:caps w:val="0"/>
          <w:color w:val="000000"/>
          <w:spacing w:val="0"/>
          <w:sz w:val="28"/>
          <w:szCs w:val="28"/>
        </w:rPr>
        <w:t>（二）决算单位构成</w:t>
      </w:r>
    </w:p>
    <w:p>
      <w:pPr>
        <w:pStyle w:val="4"/>
        <w:keepNext w:val="0"/>
        <w:keepLines w:val="0"/>
        <w:widowControl/>
        <w:suppressLineNumbers w:val="0"/>
        <w:spacing w:before="0" w:beforeAutospacing="0" w:after="2" w:afterAutospacing="0"/>
        <w:ind w:left="0" w:right="0" w:firstLine="641"/>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rPr>
        <w:t>中共攸县县委办公室2022年部门决算汇总公开单位构成包括：中共攸县县委办公室本级。</w:t>
      </w:r>
    </w:p>
    <w:p>
      <w:pPr>
        <w:numPr>
          <w:ilvl w:val="0"/>
          <w:numId w:val="1"/>
        </w:numPr>
        <w:rPr>
          <w:rFonts w:hint="eastAsia" w:ascii="黑体" w:hAnsi="黑体" w:eastAsia="黑体" w:cs="黑体"/>
          <w:b/>
          <w:bCs/>
          <w:sz w:val="28"/>
          <w:szCs w:val="28"/>
        </w:rPr>
      </w:pPr>
      <w:r>
        <w:rPr>
          <w:rFonts w:hint="eastAsia" w:ascii="黑体" w:hAnsi="黑体" w:eastAsia="黑体" w:cs="黑体"/>
          <w:b/>
          <w:bCs/>
          <w:sz w:val="28"/>
          <w:szCs w:val="28"/>
        </w:rPr>
        <w:t>部门财政资金收支情况</w:t>
      </w:r>
    </w:p>
    <w:p>
      <w:pPr>
        <w:rPr>
          <w:rFonts w:hint="eastAsia" w:ascii="仿宋" w:hAnsi="仿宋" w:eastAsia="仿宋" w:cs="仿宋"/>
          <w:b/>
          <w:sz w:val="28"/>
          <w:szCs w:val="28"/>
        </w:rPr>
      </w:pPr>
      <w:r>
        <w:rPr>
          <w:rFonts w:hint="eastAsia" w:ascii="仿宋" w:hAnsi="仿宋" w:eastAsia="仿宋" w:cs="仿宋"/>
          <w:b/>
          <w:sz w:val="28"/>
          <w:szCs w:val="28"/>
        </w:rPr>
        <w:t xml:space="preserve"> （一）收入</w:t>
      </w:r>
      <w:r>
        <w:rPr>
          <w:rFonts w:hint="eastAsia" w:ascii="仿宋" w:hAnsi="仿宋" w:eastAsia="仿宋" w:cs="仿宋"/>
          <w:b/>
          <w:sz w:val="28"/>
          <w:szCs w:val="28"/>
          <w:lang w:val="en-US" w:eastAsia="zh-CN"/>
        </w:rPr>
        <w:t>821.37</w:t>
      </w:r>
      <w:r>
        <w:rPr>
          <w:rFonts w:hint="eastAsia" w:ascii="仿宋" w:hAnsi="仿宋" w:eastAsia="仿宋" w:cs="仿宋"/>
          <w:b/>
          <w:sz w:val="28"/>
          <w:szCs w:val="28"/>
        </w:rPr>
        <w:t>万元</w:t>
      </w:r>
    </w:p>
    <w:p>
      <w:pPr>
        <w:ind w:firstLine="980" w:firstLineChars="350"/>
        <w:rPr>
          <w:rFonts w:hint="eastAsia" w:ascii="仿宋" w:hAnsi="仿宋" w:eastAsia="仿宋" w:cs="仿宋"/>
          <w:sz w:val="28"/>
          <w:szCs w:val="28"/>
        </w:rPr>
      </w:pPr>
      <w:r>
        <w:rPr>
          <w:rFonts w:hint="eastAsia" w:ascii="仿宋" w:hAnsi="仿宋" w:eastAsia="仿宋" w:cs="仿宋"/>
          <w:sz w:val="28"/>
          <w:szCs w:val="28"/>
        </w:rPr>
        <w:t>1、财政预算拨款</w:t>
      </w:r>
      <w:r>
        <w:rPr>
          <w:rFonts w:hint="eastAsia" w:ascii="仿宋" w:hAnsi="仿宋" w:eastAsia="仿宋" w:cs="仿宋"/>
          <w:sz w:val="28"/>
          <w:szCs w:val="28"/>
          <w:lang w:val="en-US" w:eastAsia="zh-CN"/>
        </w:rPr>
        <w:t>819.77</w:t>
      </w:r>
      <w:r>
        <w:rPr>
          <w:rFonts w:hint="eastAsia" w:ascii="仿宋" w:hAnsi="仿宋" w:eastAsia="仿宋" w:cs="仿宋"/>
          <w:sz w:val="28"/>
          <w:szCs w:val="28"/>
        </w:rPr>
        <w:t>万元；</w:t>
      </w:r>
    </w:p>
    <w:p>
      <w:pPr>
        <w:rPr>
          <w:rFonts w:hint="eastAsia" w:ascii="仿宋" w:hAnsi="仿宋" w:eastAsia="仿宋" w:cs="仿宋"/>
          <w:sz w:val="28"/>
          <w:szCs w:val="28"/>
        </w:rPr>
      </w:pPr>
      <w:r>
        <w:rPr>
          <w:rFonts w:hint="eastAsia" w:ascii="仿宋" w:hAnsi="仿宋" w:eastAsia="仿宋" w:cs="仿宋"/>
          <w:sz w:val="28"/>
          <w:szCs w:val="28"/>
        </w:rPr>
        <w:t xml:space="preserve">       2、纳入专户管理的非税收入拨款</w:t>
      </w:r>
      <w:r>
        <w:rPr>
          <w:rFonts w:hint="eastAsia" w:ascii="仿宋" w:hAnsi="仿宋" w:eastAsia="仿宋" w:cs="仿宋"/>
          <w:sz w:val="28"/>
          <w:szCs w:val="28"/>
          <w:lang w:val="en-US" w:eastAsia="zh-CN"/>
        </w:rPr>
        <w:t>1.6</w:t>
      </w:r>
      <w:r>
        <w:rPr>
          <w:rFonts w:hint="eastAsia" w:ascii="仿宋" w:hAnsi="仿宋" w:eastAsia="仿宋" w:cs="仿宋"/>
          <w:sz w:val="28"/>
          <w:szCs w:val="28"/>
        </w:rPr>
        <w:t>万元。</w:t>
      </w:r>
    </w:p>
    <w:p>
      <w:pPr>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（二）支出</w:t>
      </w:r>
      <w:r>
        <w:rPr>
          <w:rFonts w:hint="eastAsia" w:ascii="仿宋" w:hAnsi="仿宋" w:eastAsia="仿宋" w:cs="仿宋"/>
          <w:b/>
          <w:sz w:val="28"/>
          <w:szCs w:val="28"/>
          <w:lang w:val="en-US" w:eastAsia="zh-CN"/>
        </w:rPr>
        <w:t>821.37</w:t>
      </w:r>
      <w:r>
        <w:rPr>
          <w:rFonts w:hint="eastAsia" w:ascii="仿宋" w:hAnsi="仿宋" w:eastAsia="仿宋" w:cs="仿宋"/>
          <w:b/>
          <w:sz w:val="28"/>
          <w:szCs w:val="28"/>
        </w:rPr>
        <w:t>万元</w:t>
      </w:r>
    </w:p>
    <w:p>
      <w:pPr>
        <w:rPr>
          <w:rFonts w:hint="eastAsia" w:ascii="仿宋" w:hAnsi="仿宋" w:eastAsia="仿宋" w:cs="仿宋"/>
          <w:sz w:val="28"/>
          <w:szCs w:val="28"/>
        </w:rPr>
      </w:pPr>
      <w:r>
        <w:rPr>
          <w:rFonts w:hint="eastAsia" w:ascii="仿宋" w:hAnsi="仿宋" w:eastAsia="仿宋" w:cs="仿宋"/>
          <w:sz w:val="28"/>
          <w:szCs w:val="28"/>
        </w:rPr>
        <w:t xml:space="preserve">       1、工资福利支出</w:t>
      </w:r>
      <w:r>
        <w:rPr>
          <w:rFonts w:hint="eastAsia" w:ascii="仿宋" w:hAnsi="仿宋" w:eastAsia="仿宋" w:cs="仿宋"/>
          <w:sz w:val="28"/>
          <w:szCs w:val="28"/>
          <w:lang w:val="en-US" w:eastAsia="zh-CN"/>
        </w:rPr>
        <w:t>444.35</w:t>
      </w:r>
      <w:r>
        <w:rPr>
          <w:rFonts w:hint="eastAsia" w:ascii="仿宋" w:hAnsi="仿宋" w:eastAsia="仿宋" w:cs="仿宋"/>
          <w:sz w:val="28"/>
          <w:szCs w:val="28"/>
        </w:rPr>
        <w:t>万元；</w:t>
      </w:r>
    </w:p>
    <w:p>
      <w:pPr>
        <w:rPr>
          <w:rFonts w:hint="eastAsia" w:ascii="仿宋" w:hAnsi="仿宋" w:eastAsia="仿宋" w:cs="仿宋"/>
          <w:sz w:val="28"/>
          <w:szCs w:val="28"/>
        </w:rPr>
      </w:pPr>
      <w:r>
        <w:rPr>
          <w:rFonts w:hint="eastAsia" w:ascii="仿宋" w:hAnsi="仿宋" w:eastAsia="仿宋" w:cs="仿宋"/>
          <w:sz w:val="28"/>
          <w:szCs w:val="28"/>
        </w:rPr>
        <w:t xml:space="preserve">       2、一般商品和服务支出</w:t>
      </w:r>
      <w:r>
        <w:rPr>
          <w:rFonts w:hint="eastAsia" w:ascii="仿宋" w:hAnsi="仿宋" w:eastAsia="仿宋" w:cs="仿宋"/>
          <w:sz w:val="28"/>
          <w:szCs w:val="28"/>
          <w:lang w:val="en-US" w:eastAsia="zh-CN"/>
        </w:rPr>
        <w:t>295.47</w:t>
      </w:r>
      <w:r>
        <w:rPr>
          <w:rFonts w:hint="eastAsia" w:ascii="仿宋" w:hAnsi="仿宋" w:eastAsia="仿宋" w:cs="仿宋"/>
          <w:sz w:val="28"/>
          <w:szCs w:val="28"/>
        </w:rPr>
        <w:t>万元；</w:t>
      </w:r>
    </w:p>
    <w:p>
      <w:pPr>
        <w:rPr>
          <w:rFonts w:hint="eastAsia" w:ascii="仿宋" w:hAnsi="仿宋" w:eastAsia="仿宋" w:cs="仿宋"/>
          <w:sz w:val="28"/>
          <w:szCs w:val="28"/>
          <w:lang w:eastAsia="zh-CN"/>
        </w:rPr>
      </w:pPr>
      <w:r>
        <w:rPr>
          <w:rFonts w:hint="eastAsia" w:ascii="仿宋" w:hAnsi="仿宋" w:eastAsia="仿宋" w:cs="仿宋"/>
          <w:sz w:val="28"/>
          <w:szCs w:val="28"/>
        </w:rPr>
        <w:t xml:space="preserve">       3、对个人和家庭补助支出 </w:t>
      </w:r>
      <w:r>
        <w:rPr>
          <w:rFonts w:hint="eastAsia" w:ascii="仿宋" w:hAnsi="仿宋" w:eastAsia="仿宋" w:cs="仿宋"/>
          <w:sz w:val="28"/>
          <w:szCs w:val="28"/>
          <w:lang w:val="en-US" w:eastAsia="zh-CN"/>
        </w:rPr>
        <w:t>75.94</w:t>
      </w:r>
      <w:r>
        <w:rPr>
          <w:rFonts w:hint="eastAsia" w:ascii="仿宋" w:hAnsi="仿宋" w:eastAsia="仿宋" w:cs="仿宋"/>
          <w:sz w:val="28"/>
          <w:szCs w:val="28"/>
        </w:rPr>
        <w:t>万元</w:t>
      </w:r>
      <w:r>
        <w:rPr>
          <w:rFonts w:hint="eastAsia" w:ascii="仿宋" w:hAnsi="仿宋" w:eastAsia="仿宋" w:cs="仿宋"/>
          <w:sz w:val="28"/>
          <w:szCs w:val="28"/>
          <w:lang w:eastAsia="zh-CN"/>
        </w:rPr>
        <w:t>。</w:t>
      </w:r>
      <w:bookmarkStart w:id="0" w:name="_GoBack"/>
      <w:bookmarkEnd w:id="0"/>
    </w:p>
    <w:p>
      <w:pPr>
        <w:pStyle w:val="2"/>
        <w:rPr>
          <w:rFonts w:hint="eastAsia"/>
          <w:lang w:val="en-US"/>
        </w:rPr>
      </w:pPr>
      <w:r>
        <w:rPr>
          <w:rFonts w:hint="eastAsia" w:ascii="仿宋" w:hAnsi="仿宋" w:eastAsia="仿宋" w:cs="仿宋"/>
          <w:sz w:val="28"/>
          <w:szCs w:val="28"/>
          <w:lang w:val="en-US" w:eastAsia="zh-CN"/>
        </w:rPr>
        <w:t xml:space="preserve">       4、资本性支出5.61万元。</w:t>
      </w:r>
    </w:p>
    <w:p>
      <w:pPr>
        <w:rPr>
          <w:rFonts w:hint="eastAsia" w:ascii="黑体" w:hAnsi="黑体" w:eastAsia="黑体" w:cs="黑体"/>
          <w:b/>
          <w:bCs/>
          <w:sz w:val="28"/>
          <w:szCs w:val="28"/>
        </w:rPr>
      </w:pPr>
      <w:r>
        <w:rPr>
          <w:rFonts w:hint="eastAsia" w:ascii="黑体" w:hAnsi="黑体" w:eastAsia="黑体" w:cs="黑体"/>
          <w:b/>
          <w:bCs/>
          <w:sz w:val="28"/>
          <w:szCs w:val="28"/>
        </w:rPr>
        <w:t>三、部门财政支出管理情况</w:t>
      </w:r>
    </w:p>
    <w:p>
      <w:pPr>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sz w:val="28"/>
          <w:szCs w:val="28"/>
          <w:lang w:eastAsia="zh-CN"/>
        </w:rPr>
        <w:t>一</w:t>
      </w:r>
      <w:r>
        <w:rPr>
          <w:rFonts w:hint="eastAsia" w:ascii="仿宋" w:hAnsi="仿宋" w:eastAsia="仿宋" w:cs="仿宋"/>
          <w:b/>
          <w:bCs/>
          <w:sz w:val="28"/>
          <w:szCs w:val="28"/>
        </w:rPr>
        <w:t>）执行管理情况。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20</w:t>
      </w:r>
      <w:r>
        <w:rPr>
          <w:rFonts w:hint="eastAsia" w:ascii="仿宋" w:hAnsi="仿宋" w:eastAsia="仿宋" w:cs="仿宋"/>
          <w:sz w:val="28"/>
          <w:szCs w:val="28"/>
          <w:lang w:val="en-US" w:eastAsia="zh-CN"/>
        </w:rPr>
        <w:t>22</w:t>
      </w:r>
      <w:r>
        <w:rPr>
          <w:rFonts w:hint="eastAsia" w:ascii="仿宋" w:hAnsi="仿宋" w:eastAsia="仿宋" w:cs="仿宋"/>
          <w:sz w:val="28"/>
          <w:szCs w:val="28"/>
        </w:rPr>
        <w:t>年度支出总额控制在预算总额以内，支出严格执行中央八项规定精神，正确组织资金的筹集、调度和使用。资金使用无截留、挤占、挪用、虚列支出等情况。及时确保了县委办公室年度目标任务的实现。</w:t>
      </w:r>
    </w:p>
    <w:p>
      <w:pPr>
        <w:numPr>
          <w:ilvl w:val="0"/>
          <w:numId w:val="0"/>
        </w:numPr>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综合管理情况</w:t>
      </w:r>
      <w:r>
        <w:rPr>
          <w:rFonts w:hint="eastAsia" w:ascii="仿宋" w:hAnsi="仿宋" w:eastAsia="仿宋" w:cs="仿宋"/>
          <w:sz w:val="28"/>
          <w:szCs w:val="28"/>
        </w:rPr>
        <w:t>。</w:t>
      </w: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流</w:t>
      </w:r>
      <w:r>
        <w:rPr>
          <w:rFonts w:hint="eastAsia" w:ascii="仿宋" w:hAnsi="仿宋" w:eastAsia="仿宋" w:cs="仿宋"/>
          <w:sz w:val="28"/>
          <w:szCs w:val="28"/>
        </w:rPr>
        <w:t>动资产、固定资产，具体包括：银行存款、财政应返还额度、其他应收款、固定资产和在建工程。固定资产、办公家具和用品严格按照《资产管理办法》、政府采购预算进行配置和处置。严格按照财务管理的相关要求，建立了固定资产和办公用品使用、审批、稽核等内部管理规范，严格按相关规范运行。</w:t>
      </w:r>
    </w:p>
    <w:p>
      <w:pPr>
        <w:rPr>
          <w:rFonts w:hint="eastAsia" w:ascii="仿宋" w:hAnsi="仿宋" w:eastAsia="仿宋" w:cs="仿宋"/>
          <w:b/>
          <w:bCs/>
          <w:sz w:val="28"/>
          <w:szCs w:val="28"/>
        </w:rPr>
      </w:pPr>
      <w:r>
        <w:rPr>
          <w:rFonts w:hint="eastAsia" w:ascii="仿宋" w:hAnsi="仿宋" w:eastAsia="仿宋" w:cs="仿宋"/>
          <w:b/>
          <w:bCs/>
          <w:sz w:val="28"/>
          <w:szCs w:val="28"/>
          <w:lang w:eastAsia="zh-CN"/>
        </w:rPr>
        <w:t>（三）</w:t>
      </w:r>
      <w:r>
        <w:rPr>
          <w:rFonts w:hint="eastAsia" w:ascii="仿宋" w:hAnsi="仿宋" w:eastAsia="仿宋" w:cs="仿宋"/>
          <w:b/>
          <w:bCs/>
          <w:sz w:val="28"/>
          <w:szCs w:val="28"/>
        </w:rPr>
        <w:t>整体绩效。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22</w:t>
      </w:r>
      <w:r>
        <w:rPr>
          <w:rFonts w:hint="eastAsia" w:ascii="仿宋" w:hAnsi="仿宋" w:eastAsia="仿宋" w:cs="仿宋"/>
          <w:sz w:val="28"/>
          <w:szCs w:val="28"/>
        </w:rPr>
        <w:t>年，我单位积极履职，强化管理，较好的完成了年度工作目标。通过加强预算收支管理，不断建立健全内部管理制度，梳理内部管理流程，部门整体支出管理水平得到提升。根据部门整体支出绩效评价指标体系，我单位20</w:t>
      </w:r>
      <w:r>
        <w:rPr>
          <w:rFonts w:hint="eastAsia" w:ascii="仿宋" w:hAnsi="仿宋" w:eastAsia="仿宋" w:cs="仿宋"/>
          <w:sz w:val="28"/>
          <w:szCs w:val="28"/>
          <w:lang w:val="en-US" w:eastAsia="zh-CN"/>
        </w:rPr>
        <w:t>22</w:t>
      </w:r>
      <w:r>
        <w:rPr>
          <w:rFonts w:hint="eastAsia" w:ascii="仿宋" w:hAnsi="仿宋" w:eastAsia="仿宋" w:cs="仿宋"/>
          <w:sz w:val="28"/>
          <w:szCs w:val="28"/>
        </w:rPr>
        <w:t>年度评价得分为100分。</w:t>
      </w:r>
    </w:p>
    <w:p>
      <w:pPr>
        <w:pStyle w:val="3"/>
        <w:spacing w:line="600" w:lineRule="exact"/>
        <w:rPr>
          <w:rFonts w:hint="eastAsia" w:ascii="黑体" w:hAnsi="黑体" w:eastAsia="黑体" w:cs="黑体"/>
          <w:b/>
          <w:bCs/>
          <w:sz w:val="28"/>
          <w:szCs w:val="28"/>
        </w:rPr>
      </w:pPr>
      <w:r>
        <w:rPr>
          <w:rFonts w:hint="eastAsia" w:ascii="黑体" w:hAnsi="黑体" w:eastAsia="黑体" w:cs="黑体"/>
          <w:b/>
          <w:bCs/>
          <w:sz w:val="28"/>
          <w:szCs w:val="28"/>
          <w:lang w:eastAsia="zh-CN"/>
        </w:rPr>
        <w:t>（四）</w:t>
      </w:r>
      <w:r>
        <w:rPr>
          <w:rFonts w:hint="eastAsia" w:ascii="黑体" w:hAnsi="黑体" w:eastAsia="黑体" w:cs="黑体"/>
          <w:b/>
          <w:bCs/>
          <w:sz w:val="28"/>
          <w:szCs w:val="28"/>
        </w:rPr>
        <w:t>评价结论及建议</w:t>
      </w:r>
    </w:p>
    <w:p>
      <w:pPr>
        <w:rPr>
          <w:rFonts w:hint="eastAsia" w:ascii="仿宋" w:hAnsi="仿宋" w:eastAsia="仿宋" w:cs="仿宋"/>
          <w:sz w:val="28"/>
          <w:szCs w:val="28"/>
        </w:rPr>
      </w:pPr>
      <w:r>
        <w:rPr>
          <w:rFonts w:hint="eastAsia" w:ascii="仿宋" w:hAnsi="仿宋" w:eastAsia="仿宋" w:cs="仿宋"/>
          <w:sz w:val="28"/>
          <w:szCs w:val="28"/>
        </w:rPr>
        <w:t>（一）评价结论：</w:t>
      </w:r>
    </w:p>
    <w:p>
      <w:pPr>
        <w:ind w:firstLine="281" w:firstLineChars="100"/>
        <w:rPr>
          <w:rFonts w:hint="eastAsia" w:ascii="仿宋" w:hAnsi="仿宋" w:eastAsia="仿宋" w:cs="仿宋"/>
          <w:b/>
          <w:sz w:val="28"/>
          <w:szCs w:val="28"/>
        </w:rPr>
      </w:pPr>
      <w:r>
        <w:rPr>
          <w:rFonts w:hint="eastAsia" w:ascii="仿宋" w:hAnsi="仿宋" w:eastAsia="仿宋" w:cs="仿宋"/>
          <w:b/>
          <w:sz w:val="28"/>
          <w:szCs w:val="28"/>
        </w:rPr>
        <w:t>1、经济效益评价</w:t>
      </w:r>
    </w:p>
    <w:p>
      <w:pPr>
        <w:ind w:firstLine="280" w:firstLineChars="100"/>
        <w:rPr>
          <w:rFonts w:hint="eastAsia" w:ascii="仿宋" w:hAnsi="仿宋" w:eastAsia="仿宋" w:cs="仿宋"/>
          <w:i w:val="0"/>
          <w:caps w:val="0"/>
          <w:color w:val="000000"/>
          <w:spacing w:val="0"/>
          <w:sz w:val="28"/>
          <w:szCs w:val="28"/>
        </w:rPr>
      </w:pPr>
      <w:r>
        <w:rPr>
          <w:rFonts w:hint="eastAsia" w:ascii="仿宋" w:hAnsi="仿宋" w:eastAsia="仿宋" w:cs="仿宋"/>
          <w:sz w:val="28"/>
          <w:szCs w:val="28"/>
        </w:rPr>
        <w:t>（1） 预算执行方面，支出总额控制在预算总额以内</w:t>
      </w:r>
      <w:r>
        <w:rPr>
          <w:rFonts w:hint="eastAsia" w:ascii="仿宋" w:hAnsi="仿宋" w:eastAsia="仿宋" w:cs="仿宋"/>
          <w:sz w:val="28"/>
          <w:szCs w:val="28"/>
          <w:lang w:eastAsia="zh-CN"/>
        </w:rPr>
        <w:t>，</w:t>
      </w:r>
      <w:r>
        <w:rPr>
          <w:rFonts w:hint="eastAsia" w:ascii="仿宋" w:hAnsi="仿宋" w:eastAsia="仿宋" w:cs="仿宋"/>
          <w:i w:val="0"/>
          <w:caps w:val="0"/>
          <w:color w:val="000000"/>
          <w:spacing w:val="0"/>
          <w:sz w:val="28"/>
          <w:szCs w:val="28"/>
        </w:rPr>
        <w:t>2022年度“三公”经费财政拨款支出预算为13万元，支出决算为8.32万元，完成预算的64%</w:t>
      </w:r>
      <w:r>
        <w:rPr>
          <w:rFonts w:hint="eastAsia" w:ascii="仿宋" w:hAnsi="仿宋" w:eastAsia="仿宋" w:cs="仿宋"/>
          <w:i w:val="0"/>
          <w:caps w:val="0"/>
          <w:color w:val="000000"/>
          <w:spacing w:val="0"/>
          <w:sz w:val="28"/>
          <w:szCs w:val="28"/>
          <w:lang w:eastAsia="zh-CN"/>
        </w:rPr>
        <w:t>。</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（2）预算管理方面，制度执行总体较为有效。</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（3）资产管理方面，建立了资产管理制度，定期进行了盘点和资产清理，总体执行较好。</w:t>
      </w:r>
    </w:p>
    <w:p>
      <w:pPr>
        <w:rPr>
          <w:rFonts w:hint="eastAsia" w:ascii="仿宋" w:hAnsi="仿宋" w:eastAsia="仿宋" w:cs="仿宋"/>
          <w:b/>
          <w:sz w:val="28"/>
          <w:szCs w:val="28"/>
        </w:rPr>
      </w:pPr>
      <w:r>
        <w:rPr>
          <w:rFonts w:hint="eastAsia" w:ascii="仿宋" w:hAnsi="仿宋" w:eastAsia="仿宋" w:cs="仿宋"/>
          <w:b/>
          <w:sz w:val="28"/>
          <w:szCs w:val="28"/>
        </w:rPr>
        <w:t>2、效率性评价和有效性评价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预算安排的基本支出保障了正常的工作运转，预算安排的项目支出是非常必要的，在执行上是严格遵守各项财经纪律的，严守法律底线、纪律底线、道德底线。</w:t>
      </w:r>
    </w:p>
    <w:p>
      <w:pPr>
        <w:rPr>
          <w:rFonts w:hint="eastAsia" w:ascii="仿宋" w:hAnsi="仿宋" w:eastAsia="仿宋" w:cs="仿宋"/>
          <w:b/>
          <w:sz w:val="28"/>
          <w:szCs w:val="28"/>
        </w:rPr>
      </w:pPr>
      <w:r>
        <w:rPr>
          <w:rFonts w:hint="eastAsia" w:ascii="仿宋" w:hAnsi="仿宋" w:eastAsia="仿宋" w:cs="仿宋"/>
          <w:b/>
          <w:sz w:val="28"/>
          <w:szCs w:val="28"/>
        </w:rPr>
        <w:t>3、社会公众满意度评价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22</w:t>
      </w:r>
      <w:r>
        <w:rPr>
          <w:rFonts w:hint="eastAsia" w:ascii="仿宋" w:hAnsi="仿宋" w:eastAsia="仿宋" w:cs="仿宋"/>
          <w:sz w:val="28"/>
          <w:szCs w:val="28"/>
        </w:rPr>
        <w:t>年我办认真贯彻落实党的十九届四中全会精神勤奋工作，在上级党办的正确指导下，在县委坚强领导下，着力当好党委的忠诚卫士、参谋助手、协调好手、督办能手，全面提升“三服务”质量和水平，圆满完成了各项工作任务。</w:t>
      </w:r>
    </w:p>
    <w:p>
      <w:pPr>
        <w:numPr>
          <w:ilvl w:val="0"/>
          <w:numId w:val="0"/>
        </w:numPr>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存在问题</w:t>
      </w:r>
    </w:p>
    <w:p>
      <w:pPr>
        <w:numPr>
          <w:ilvl w:val="0"/>
          <w:numId w:val="0"/>
        </w:numPr>
        <w:ind w:leftChars="200"/>
        <w:rPr>
          <w:rFonts w:hint="eastAsia" w:ascii="仿宋" w:hAnsi="仿宋" w:eastAsia="仿宋" w:cs="仿宋"/>
          <w:sz w:val="28"/>
          <w:szCs w:val="28"/>
        </w:rPr>
      </w:pPr>
      <w:r>
        <w:rPr>
          <w:rFonts w:hint="eastAsia" w:ascii="仿宋" w:hAnsi="仿宋" w:eastAsia="仿宋" w:cs="仿宋"/>
          <w:sz w:val="28"/>
          <w:szCs w:val="28"/>
        </w:rPr>
        <w:t>1、财务制度执行力有待加强，资金使用计划有待细化。</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b/>
          <w:sz w:val="28"/>
          <w:szCs w:val="28"/>
        </w:rPr>
        <w:t>“三公经费”</w:t>
      </w:r>
      <w:r>
        <w:rPr>
          <w:rFonts w:hint="eastAsia" w:ascii="仿宋" w:hAnsi="仿宋" w:eastAsia="仿宋" w:cs="仿宋"/>
          <w:sz w:val="28"/>
          <w:szCs w:val="28"/>
        </w:rPr>
        <w:t>虽没有超过年初预算，但与上年比较减少幅度特别大，主要是公务接待费用大幅度减少，和今年公车补贴没有纳入公车运行经费，而是纳入其他交通费用中。编制的归纳方式存在细化不清。</w:t>
      </w:r>
    </w:p>
    <w:p>
      <w:pPr>
        <w:rPr>
          <w:rFonts w:hint="eastAsia" w:ascii="仿宋" w:hAnsi="仿宋" w:eastAsia="仿宋" w:cs="仿宋"/>
          <w:sz w:val="28"/>
          <w:szCs w:val="28"/>
        </w:rPr>
      </w:pPr>
      <w:r>
        <w:rPr>
          <w:rFonts w:hint="eastAsia" w:ascii="仿宋" w:hAnsi="仿宋" w:eastAsia="仿宋" w:cs="仿宋"/>
          <w:b/>
          <w:bCs/>
          <w:sz w:val="28"/>
          <w:szCs w:val="28"/>
        </w:rPr>
        <w:t>（三）改进建议</w:t>
      </w:r>
      <w:r>
        <w:rPr>
          <w:rFonts w:hint="eastAsia" w:ascii="仿宋" w:hAnsi="仿宋" w:eastAsia="仿宋" w:cs="仿宋"/>
          <w:sz w:val="28"/>
          <w:szCs w:val="28"/>
        </w:rPr>
        <w:t>：</w:t>
      </w:r>
    </w:p>
    <w:p>
      <w:pPr>
        <w:ind w:firstLine="840" w:firstLineChars="300"/>
        <w:rPr>
          <w:rFonts w:hint="eastAsia" w:ascii="仿宋" w:hAnsi="仿宋" w:eastAsia="仿宋" w:cs="仿宋"/>
          <w:sz w:val="28"/>
          <w:szCs w:val="28"/>
        </w:rPr>
      </w:pPr>
      <w:r>
        <w:rPr>
          <w:rFonts w:hint="eastAsia" w:ascii="仿宋" w:hAnsi="仿宋" w:eastAsia="仿宋" w:cs="仿宋"/>
          <w:sz w:val="28"/>
          <w:szCs w:val="28"/>
        </w:rPr>
        <w:t>1、细化预算编制工作，认真做好预算的编制。进一步加强单位内部机构各股室的预算管理意识，严格按照预算编制的相关制度和要求进行预算编制。</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3、完善资产管理，抓好“</w:t>
      </w:r>
      <w:r>
        <w:rPr>
          <w:rFonts w:hint="eastAsia" w:ascii="仿宋" w:hAnsi="仿宋" w:eastAsia="仿宋" w:cs="仿宋"/>
          <w:b/>
          <w:bCs/>
          <w:sz w:val="28"/>
          <w:szCs w:val="28"/>
        </w:rPr>
        <w:t>三公</w:t>
      </w:r>
      <w:r>
        <w:rPr>
          <w:rFonts w:hint="eastAsia" w:ascii="仿宋" w:hAnsi="仿宋" w:eastAsia="仿宋" w:cs="仿宋"/>
          <w:sz w:val="28"/>
          <w:szCs w:val="28"/>
        </w:rPr>
        <w:t>”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w:t>
      </w:r>
      <w:r>
        <w:rPr>
          <w:rFonts w:hint="eastAsia" w:ascii="仿宋" w:hAnsi="仿宋" w:eastAsia="仿宋" w:cs="仿宋"/>
          <w:b/>
          <w:bCs/>
          <w:sz w:val="28"/>
          <w:szCs w:val="28"/>
        </w:rPr>
        <w:t>三公</w:t>
      </w:r>
      <w:r>
        <w:rPr>
          <w:rFonts w:hint="eastAsia" w:ascii="仿宋" w:hAnsi="仿宋" w:eastAsia="仿宋" w:cs="仿宋"/>
          <w:sz w:val="28"/>
          <w:szCs w:val="28"/>
        </w:rPr>
        <w:t>”经费的规模和比例，把关“</w:t>
      </w:r>
      <w:r>
        <w:rPr>
          <w:rFonts w:hint="eastAsia" w:ascii="仿宋" w:hAnsi="仿宋" w:eastAsia="仿宋" w:cs="仿宋"/>
          <w:b/>
          <w:bCs/>
          <w:sz w:val="28"/>
          <w:szCs w:val="28"/>
        </w:rPr>
        <w:t>三公</w:t>
      </w:r>
      <w:r>
        <w:rPr>
          <w:rFonts w:hint="eastAsia" w:ascii="仿宋" w:hAnsi="仿宋" w:eastAsia="仿宋" w:cs="仿宋"/>
          <w:sz w:val="28"/>
          <w:szCs w:val="28"/>
        </w:rPr>
        <w:t>”经费支出的审核、审批，杜绝挪用和挤占其他预算资金行为。</w:t>
      </w:r>
    </w:p>
    <w:p>
      <w:pPr>
        <w:ind w:firstLine="420" w:firstLineChars="150"/>
        <w:rPr>
          <w:rFonts w:hint="eastAsia" w:ascii="仿宋" w:hAnsi="仿宋" w:eastAsia="仿宋" w:cs="仿宋"/>
          <w:sz w:val="28"/>
          <w:szCs w:val="28"/>
        </w:rPr>
      </w:pPr>
      <w:r>
        <w:rPr>
          <w:rFonts w:hint="eastAsia" w:ascii="仿宋" w:hAnsi="仿宋" w:eastAsia="仿宋" w:cs="仿宋"/>
          <w:sz w:val="28"/>
          <w:szCs w:val="28"/>
        </w:rPr>
        <w:t>4、对相关人员加强培训，特别是针对《预算法》、《行政事业单位会计制度》</w:t>
      </w:r>
      <w:r>
        <w:rPr>
          <w:rFonts w:hint="eastAsia" w:ascii="仿宋" w:hAnsi="仿宋" w:eastAsia="仿宋" w:cs="仿宋"/>
          <w:sz w:val="28"/>
          <w:szCs w:val="28"/>
          <w:lang w:eastAsia="zh-CN"/>
        </w:rPr>
        <w:t>《湖南省政府采购电子卖场管理办法》</w:t>
      </w:r>
      <w:r>
        <w:rPr>
          <w:rFonts w:hint="eastAsia" w:ascii="仿宋" w:hAnsi="仿宋" w:eastAsia="仿宋" w:cs="仿宋"/>
          <w:sz w:val="28"/>
          <w:szCs w:val="28"/>
        </w:rPr>
        <w:t>等学习培训，规范部门预算收支核算，切实提高部门预算收支管理水平。</w:t>
      </w:r>
    </w:p>
    <w:p>
      <w:pPr>
        <w:rPr>
          <w:rFonts w:hint="eastAsia" w:ascii="仿宋" w:hAnsi="仿宋" w:eastAsia="仿宋" w:cs="仿宋"/>
          <w:sz w:val="28"/>
          <w:szCs w:val="28"/>
        </w:rPr>
      </w:pPr>
    </w:p>
    <w:p>
      <w:pPr>
        <w:pStyle w:val="3"/>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E60B24"/>
    <w:multiLevelType w:val="singleLevel"/>
    <w:tmpl w:val="ADE60B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30A00"/>
    <w:rsid w:val="07BF00AC"/>
    <w:rsid w:val="09E455D3"/>
    <w:rsid w:val="15B30A00"/>
    <w:rsid w:val="1941726B"/>
    <w:rsid w:val="1B6A10E9"/>
    <w:rsid w:val="1D03077E"/>
    <w:rsid w:val="1D7B3606"/>
    <w:rsid w:val="1DFE74A0"/>
    <w:rsid w:val="24750C13"/>
    <w:rsid w:val="26BB46A9"/>
    <w:rsid w:val="27AF202B"/>
    <w:rsid w:val="2EFE7587"/>
    <w:rsid w:val="37B80889"/>
    <w:rsid w:val="3D8F14BA"/>
    <w:rsid w:val="3DA62893"/>
    <w:rsid w:val="3F256C45"/>
    <w:rsid w:val="4972463E"/>
    <w:rsid w:val="4D7674C8"/>
    <w:rsid w:val="4FE43070"/>
    <w:rsid w:val="57732653"/>
    <w:rsid w:val="5C640EE4"/>
    <w:rsid w:val="5C7939C8"/>
    <w:rsid w:val="5CF06537"/>
    <w:rsid w:val="5DDB0F08"/>
    <w:rsid w:val="5E405E58"/>
    <w:rsid w:val="6EA819C9"/>
    <w:rsid w:val="780619D4"/>
    <w:rsid w:val="789266A7"/>
    <w:rsid w:val="7F7C6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line="360" w:lineRule="atLeast"/>
      <w:jc w:val="left"/>
    </w:pPr>
    <w:rPr>
      <w:rFonts w:hint="eastAsia" w:ascii="微软雅黑" w:hAnsi="微软雅黑" w:eastAsia="微软雅黑" w:cs="Times New Roma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2020-12-30T02:33:00Z</dcterms:created>
  <dc:creator>草草</dc:creator>
  <cp:lastModifiedBy>Administrator</cp:lastModifiedBy>
  <dcterms:modified xsi:type="dcterms:W3CDTF">2023-09-27T00:38:11Z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