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年部门整体支出绩效自评报告</w:t>
      </w:r>
    </w:p>
    <w:p>
      <w:pPr>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攸县农业农村局</w:t>
      </w:r>
    </w:p>
    <w:p>
      <w:pPr>
        <w:ind w:firstLine="560" w:firstLineChars="200"/>
        <w:rPr>
          <w:rFonts w:ascii="方正黑体简体" w:hAnsi="方正黑体简体" w:eastAsia="方正黑体简体" w:cs="方正黑体简体"/>
          <w:b/>
          <w:bCs/>
          <w:sz w:val="28"/>
          <w:szCs w:val="28"/>
        </w:rPr>
      </w:pPr>
      <w:r>
        <w:rPr>
          <w:rFonts w:hint="eastAsia" w:ascii="方正黑体简体" w:hAnsi="方正黑体简体" w:eastAsia="方正黑体简体" w:cs="方正黑体简体"/>
          <w:b/>
          <w:bCs/>
          <w:sz w:val="28"/>
          <w:szCs w:val="28"/>
        </w:rPr>
        <w:t>一、部位（单位）概况</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（一）机构组成及人员概况：</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攸县农业农村局内设机构包括：攸县农业农村局是内设8个职能股室，辖设7个事业服务机构，分别为：1、攸县农业农村局本级2、攸县农业技术推广中心3、攸县农机技术推广服务站4、攸县农村经济管理服务站5、攸县农业综合行政执法大队6、农机监理所7、蔬菜办。攸县农业农村局现有在职人员143人、退休人员138人、长休人员1人、临聘人员20人、遗属补助人员27人。</w:t>
      </w:r>
      <w:r>
        <w:rPr>
          <w:rFonts w:hint="eastAsia" w:ascii="仿宋" w:hAnsi="仿宋" w:eastAsia="仿宋" w:cs="仿宋"/>
          <w:color w:val="000000"/>
          <w:sz w:val="32"/>
          <w:szCs w:val="32"/>
        </w:rPr>
        <w:t xml:space="preserve">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（二）机构职能：</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 xml:space="preserve">）贯彻执行党和国家有关农业、农村工作的法律、法规和方针、政策，组织拟订全县种植业、畜牧业、农业机械化等农业各产业中长期发展规划并组织实施;研究并提出全县农村工作的发展战略、政策意见和有关文件草案意见，监督检查农村政策的贯彻执行情况;负责全县农村工作的组织指导与综合协调;承担农业投资和农业综合开发、示范项目的规划、计划管理和监督实施。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 xml:space="preserve">）统筹推动发展农村社会事业、农村公共服务、农村文化、农村基础设施和乡村治理。牵头组织改善农村人居环境。指导农村精神文明和优秀农耕文化建设。指导农业行业安全生产工作。指导、协调全县农村基层党风廉政建设工作;配合有关部门抓好农村基层党组织建设、基层政权建设和农村稳定工作。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 xml:space="preserve">）研究提出深化农村经济体制改革和巩固完善农村基本经营制度的政策建议。负责农民承包地、农村宅基地改革和管理有关工作。负责农村集体产权制度改革，指导农村集体经济组织发展和集体资产管理工作。指导农民合作经济组织、农业社会化服务体系、新型农业经营主体建设与发展。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 xml:space="preserve">）指导乡村特色产业、农产品加工业、休闲农业和乡镇企业发展工作。提出促进大宗农产品流通的建议，培育、保护农业品牌。发布农业农村经济信息，监测分析农业农村经济运行。承担农业统计和农业农村信息化有关工作。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 xml:space="preserve">）负责种植业、畜牧业、渔业、农业机械化等农业产业的监督管理。指导粮食等农产品生产。组织构建现代农业产业体系、生产体系、经营体系，指导农业标准化生产。负责渔政监督管理。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 xml:space="preserve">）负责农产品质量安全监督管理。组织开展农产品质量安全监测、追溯、风险评估，发布农产品质量安全有关信息。贯彻执行农产品质量安全国家标准，参与制定农产品质量安全地方标准并会同有关部门组织实施。指导农业检验检测体系建设。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 xml:space="preserve">）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产业发展。牵头管理外来物种。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 xml:space="preserve">）负责有关农业生产资料和农业投入品的监督管理。组织农业生产资料市场体系建设。贯彻执行农业生产资料、兽药质量、兽药残留限量和残留检测方法国家标准，参与制定农业生产资料地方标准并监督实施。组织兽医医政、兽药药政药检工作，负责执业兽医和畜禽屠宰行业管理。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 xml:space="preserve">）负责农业防灾减灾、农作物重大病虫害防治工作。指导动植物防疫检疫体系建设，组织、监督县内动植物防疫检疫工作，发布疫情并组织扑灭。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 xml:space="preserve">）负责农业投资管理。编制农业投资项目建设规划，提出农业投资规模和方向、扶持农业农村发展财政项目的建议，按规定权限审批农业投资项目，负责农业投资项目资金安排和监督管理。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 xml:space="preserve">）推动农业科技体制改革和农业科技创新体系建设。指导农业产业技术体系和农技推广体系建设，组织开展农业领域的高新技术和应用技术科技成果转化和技术推广。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p>
    <w:p>
      <w:pPr>
        <w:ind w:firstLine="560" w:firstLineChars="200"/>
        <w:rPr>
          <w:rFonts w:ascii="方正黑体简体" w:hAnsi="方正黑体简体" w:eastAsia="方正黑体简体" w:cs="方正黑体简体"/>
          <w:b/>
          <w:bCs/>
          <w:sz w:val="28"/>
          <w:szCs w:val="28"/>
        </w:rPr>
      </w:pPr>
      <w:r>
        <w:rPr>
          <w:rFonts w:hint="eastAsia" w:ascii="方正黑体简体" w:hAnsi="方正黑体简体" w:eastAsia="方正黑体简体" w:cs="方正黑体简体"/>
          <w:b/>
          <w:bCs/>
          <w:sz w:val="28"/>
          <w:szCs w:val="28"/>
        </w:rPr>
        <w:t>二、部门财政资金收支及使用情况</w:t>
      </w:r>
    </w:p>
    <w:p>
      <w:pPr>
        <w:pStyle w:val="7"/>
        <w:widowControl/>
        <w:shd w:val="clear" w:color="auto" w:fill="FFFFFF"/>
        <w:spacing w:before="450" w:beforeAutospacing="0" w:afterAutospacing="0" w:line="590" w:lineRule="atLeast"/>
        <w:ind w:firstLine="634"/>
        <w:jc w:val="both"/>
        <w:rPr>
          <w:rFonts w:ascii="仿宋" w:hAnsi="仿宋" w:eastAsia="仿宋" w:cs="仿宋"/>
          <w:color w:val="000000"/>
          <w:sz w:val="32"/>
          <w:szCs w:val="32"/>
        </w:rPr>
      </w:pPr>
      <w:r>
        <w:rPr>
          <w:rFonts w:hint="eastAsia" w:ascii="仿宋" w:hAnsi="仿宋" w:eastAsia="仿宋" w:cs="仿宋"/>
          <w:color w:val="000000"/>
          <w:sz w:val="32"/>
          <w:szCs w:val="32"/>
        </w:rPr>
        <w:t>1、收入情况</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2022年度收入合计19,830.39万元，其中：财政拨</w:t>
      </w:r>
      <w:bookmarkStart w:id="0" w:name="_GoBack"/>
      <w:bookmarkEnd w:id="0"/>
      <w:r>
        <w:rPr>
          <w:rFonts w:hint="eastAsia" w:ascii="仿宋" w:hAnsi="仿宋" w:eastAsia="仿宋" w:cs="仿宋"/>
          <w:color w:val="000000"/>
          <w:sz w:val="32"/>
          <w:szCs w:val="32"/>
        </w:rPr>
        <w:t>款收入19,830.39万元，</w:t>
      </w:r>
      <w:r>
        <w:rPr>
          <w:rFonts w:hint="eastAsia" w:ascii="仿宋" w:hAnsi="仿宋" w:eastAsia="仿宋" w:cs="仿宋"/>
          <w:color w:val="000000"/>
          <w:sz w:val="32"/>
          <w:szCs w:val="32"/>
        </w:rPr>
        <w:t>占100%</w:t>
      </w:r>
      <w:r>
        <w:rPr>
          <w:rFonts w:hint="eastAsia" w:ascii="仿宋" w:hAnsi="仿宋" w:eastAsia="仿宋" w:cs="仿宋"/>
          <w:color w:val="000000"/>
          <w:sz w:val="32"/>
          <w:szCs w:val="32"/>
          <w:lang w:eastAsia="zh-CN"/>
        </w:rPr>
        <w:t>。</w:t>
      </w:r>
    </w:p>
    <w:p>
      <w:pPr>
        <w:pStyle w:val="7"/>
        <w:widowControl/>
        <w:shd w:val="clear" w:color="auto" w:fill="FFFFFF"/>
        <w:spacing w:before="450" w:beforeAutospacing="0" w:afterAutospacing="0" w:line="590" w:lineRule="atLeast"/>
        <w:ind w:firstLine="634"/>
        <w:jc w:val="both"/>
        <w:rPr>
          <w:rFonts w:hint="eastAsia" w:ascii="仿宋" w:hAnsi="仿宋" w:eastAsia="仿宋" w:cs="仿宋"/>
          <w:color w:val="000000"/>
          <w:sz w:val="32"/>
          <w:szCs w:val="32"/>
        </w:rPr>
      </w:pPr>
      <w:r>
        <w:rPr>
          <w:rFonts w:hint="eastAsia" w:ascii="仿宋" w:hAnsi="仿宋" w:eastAsia="仿宋" w:cs="仿宋"/>
          <w:color w:val="000000"/>
          <w:sz w:val="32"/>
          <w:szCs w:val="32"/>
        </w:rPr>
        <w:t>2、基本支出情况</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022年度财政拨款支出19,830.39万元，主要用于以下方面：一般公共服务支出13万元，占0.07%；科学技术支出15万元，占0.08%；社会保障和就业支出182.18万元，占0.92%；卫生健康支出58万元，占0.29%；农林水支出19,475.58万元，占98.2%；交通运输支出15万元，占0.08%；粮油物资储备支出71.63万元，占0.36%。</w:t>
      </w:r>
      <w:r>
        <w:rPr>
          <w:rFonts w:hint="eastAsia" w:ascii="仿宋" w:hAnsi="仿宋" w:eastAsia="仿宋" w:cs="仿宋"/>
          <w:color w:val="000000"/>
          <w:sz w:val="32"/>
          <w:szCs w:val="32"/>
        </w:rPr>
        <w:t xml:space="preserve"> </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2022年度“三公”经费财政拨款支出决算中，公务接待费支出决算20.53万元，占80.32%，因公出国（境）费支出决算0万元，占0%，公务用车购置费及运行维护费支出决算5.03万元，占19.68%。其中：</w:t>
      </w:r>
    </w:p>
    <w:p>
      <w:pPr>
        <w:pStyle w:val="7"/>
        <w:widowControl/>
        <w:spacing w:before="450" w:beforeAutospacing="0" w:afterAutospacing="0" w:line="590" w:lineRule="atLeast"/>
        <w:ind w:firstLine="640"/>
        <w:jc w:val="both"/>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1、因公出国（境）费支出决算为0万元，全年安排因公出国（境）团组0个，累计0人次，我单位2022年度无因公出国（境）费支出。</w:t>
      </w:r>
    </w:p>
    <w:p>
      <w:pPr>
        <w:pStyle w:val="7"/>
        <w:widowControl/>
        <w:spacing w:before="450" w:beforeAutospacing="0" w:afterAutospacing="0" w:line="590" w:lineRule="atLeast"/>
        <w:ind w:firstLine="640"/>
        <w:jc w:val="both"/>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2、公务接待费支出决算为20.53万元，全年共接待来访团组188个、来宾2,566人次，主要是全县农村工作会议发生的接待支出。</w:t>
      </w:r>
    </w:p>
    <w:p>
      <w:pPr>
        <w:pStyle w:val="7"/>
        <w:widowControl/>
        <w:spacing w:before="450" w:beforeAutospacing="0" w:afterAutospacing="0" w:line="590" w:lineRule="atLeast"/>
        <w:ind w:firstLine="640"/>
        <w:jc w:val="both"/>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公务用车购置费及运行维护费支出决算为5.03万元，其中：公务用车购置费0万元，农业农村局更新公务用车0辆。公务用车运行维护费5.03万元，主要是油费、修理费、保险费支出，截至2022年12月31日，我单位开支财政拨款的公务用车保有量为2辆。</w:t>
      </w:r>
    </w:p>
    <w:p>
      <w:pPr>
        <w:pStyle w:val="7"/>
        <w:widowControl/>
        <w:spacing w:before="450" w:beforeAutospacing="0" w:afterAutospacing="0" w:line="590" w:lineRule="atLeast"/>
        <w:ind w:firstLine="640"/>
        <w:jc w:val="both"/>
        <w:rPr>
          <w:rFonts w:hint="eastAsia" w:ascii="仿宋" w:hAnsi="仿宋" w:eastAsia="仿宋" w:cs="仿宋"/>
          <w:color w:val="000000"/>
          <w:sz w:val="32"/>
          <w:szCs w:val="32"/>
        </w:rPr>
      </w:pPr>
    </w:p>
    <w:p>
      <w:pPr>
        <w:pStyle w:val="7"/>
        <w:widowControl/>
        <w:shd w:val="clear" w:color="auto" w:fill="FFFFFF"/>
        <w:spacing w:before="450" w:beforeAutospacing="0" w:afterAutospacing="0" w:line="590" w:lineRule="atLeast"/>
        <w:ind w:firstLine="634"/>
        <w:jc w:val="both"/>
        <w:rPr>
          <w:rFonts w:hint="eastAsia" w:ascii="仿宋" w:hAnsi="仿宋" w:eastAsia="仿宋" w:cs="仿宋"/>
          <w:color w:val="000000"/>
          <w:sz w:val="32"/>
          <w:szCs w:val="32"/>
        </w:rPr>
      </w:pPr>
      <w:r>
        <w:rPr>
          <w:rFonts w:hint="eastAsia" w:ascii="仿宋" w:hAnsi="仿宋" w:eastAsia="仿宋" w:cs="仿宋"/>
          <w:color w:val="000000"/>
          <w:sz w:val="32"/>
          <w:szCs w:val="32"/>
        </w:rPr>
        <w:t>3、项目支出情况</w:t>
      </w:r>
    </w:p>
    <w:p>
      <w:pPr>
        <w:pStyle w:val="7"/>
        <w:widowControl/>
        <w:spacing w:before="450" w:beforeAutospacing="0" w:afterAutospacing="0" w:line="590" w:lineRule="atLeast"/>
        <w:ind w:firstLine="640"/>
        <w:jc w:val="both"/>
        <w:rPr>
          <w:rFonts w:ascii="Times New Roman" w:hAnsi="Times New Roman"/>
          <w:sz w:val="32"/>
          <w:szCs w:val="32"/>
        </w:rPr>
      </w:pPr>
      <w:r>
        <w:rPr>
          <w:rFonts w:hint="eastAsia" w:ascii="仿宋" w:hAnsi="仿宋" w:eastAsia="仿宋" w:cs="仿宋"/>
          <w:color w:val="000000"/>
          <w:sz w:val="32"/>
          <w:szCs w:val="32"/>
        </w:rPr>
        <w:t>项目支出</w:t>
      </w:r>
      <w:r>
        <w:rPr>
          <w:rFonts w:hint="eastAsia" w:ascii="仿宋" w:hAnsi="仿宋" w:eastAsia="仿宋" w:cs="仿宋"/>
          <w:color w:val="000000"/>
          <w:sz w:val="32"/>
          <w:szCs w:val="32"/>
          <w:lang w:val="en-US" w:eastAsia="zh-CN"/>
        </w:rPr>
        <w:t>16974.18</w:t>
      </w:r>
      <w:r>
        <w:rPr>
          <w:rFonts w:hint="eastAsia" w:ascii="仿宋" w:hAnsi="仿宋" w:eastAsia="仿宋" w:cs="仿宋"/>
          <w:color w:val="000000"/>
          <w:sz w:val="32"/>
          <w:szCs w:val="32"/>
        </w:rPr>
        <w:t>万元，为财政拨款项目资金。包括镉污染治理、高标准农田、制种大县、病虫害控制、农业技术推广、集中育秧、稻油轮作、产油大县</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秸秆综合利用、农机</w:t>
      </w:r>
      <w:r>
        <w:rPr>
          <w:rFonts w:hint="eastAsia" w:ascii="仿宋" w:hAnsi="仿宋" w:eastAsia="仿宋" w:cs="仿宋"/>
          <w:color w:val="000000"/>
          <w:sz w:val="32"/>
          <w:szCs w:val="32"/>
        </w:rPr>
        <w:t>等项目，以上项目资金均拨款到位，使用合规合法，没有挪用，挤占的现象。</w:t>
      </w:r>
    </w:p>
    <w:p>
      <w:pPr>
        <w:pStyle w:val="7"/>
        <w:widowControl/>
        <w:shd w:val="clear" w:color="auto" w:fill="FFFFFF"/>
        <w:spacing w:before="450" w:beforeAutospacing="0" w:afterAutospacing="0" w:line="590" w:lineRule="atLeast"/>
        <w:ind w:firstLine="632"/>
        <w:jc w:val="both"/>
        <w:rPr>
          <w:rFonts w:ascii="Times New Roman" w:hAnsi="Times New Roman"/>
          <w:sz w:val="32"/>
          <w:szCs w:val="32"/>
        </w:rPr>
      </w:pPr>
      <w:r>
        <w:rPr>
          <w:rFonts w:hint="eastAsia" w:ascii="仿宋" w:hAnsi="仿宋" w:eastAsia="仿宋" w:cs="仿宋"/>
          <w:color w:val="000000"/>
          <w:spacing w:val="-2"/>
          <w:sz w:val="32"/>
          <w:szCs w:val="32"/>
          <w:shd w:val="clear" w:color="auto" w:fill="FFFFFF"/>
        </w:rPr>
        <w:t>本单位根据县财政开支标准、规定和县纪委规定及上级单位的各项规定，结合单位的实际工作，将各个环节的工作，进行了梳理规范，形成办事制度，对各项费用开支，按相关单位要求进行了细化、规范化，形成管理制度、流程统一纳入《内部控制手册》，对《内部控制手册》内容进行系统培训，严格执行《内部控制手册》。</w:t>
      </w:r>
    </w:p>
    <w:p>
      <w:pPr>
        <w:pStyle w:val="7"/>
        <w:widowControl/>
        <w:shd w:val="clear" w:color="auto" w:fill="FFFFFF"/>
        <w:spacing w:before="450" w:beforeAutospacing="0" w:afterAutospacing="0" w:line="590" w:lineRule="atLeast"/>
        <w:ind w:firstLine="632"/>
        <w:jc w:val="both"/>
        <w:rPr>
          <w:rFonts w:ascii="Times New Roman" w:hAnsi="Times New Roman"/>
          <w:sz w:val="32"/>
          <w:szCs w:val="32"/>
        </w:rPr>
      </w:pPr>
      <w:r>
        <w:rPr>
          <w:rFonts w:hint="eastAsia" w:ascii="仿宋" w:hAnsi="仿宋" w:eastAsia="仿宋" w:cs="仿宋"/>
          <w:color w:val="000000"/>
          <w:spacing w:val="-2"/>
          <w:sz w:val="32"/>
          <w:szCs w:val="32"/>
          <w:shd w:val="clear" w:color="auto" w:fill="FFFFFF"/>
          <w:lang w:val="en-US" w:eastAsia="zh-CN"/>
        </w:rPr>
        <w:t>2022</w:t>
      </w:r>
      <w:r>
        <w:rPr>
          <w:rFonts w:hint="eastAsia" w:ascii="仿宋" w:hAnsi="仿宋" w:eastAsia="仿宋" w:cs="仿宋"/>
          <w:color w:val="000000"/>
          <w:spacing w:val="-2"/>
          <w:sz w:val="32"/>
          <w:szCs w:val="32"/>
          <w:shd w:val="clear" w:color="auto" w:fill="FFFFFF"/>
        </w:rPr>
        <w:t>年进行自查自纠，严格开支审批手续，规定费用开支由经办人签字、财务审核、分管领导审核、局长审批，规定审批人审批。成立了审计小组、考核小组，对单位经济活动先进评审、考核，确保了各项开支合理合法，开支与绩效挂钩，提高了资金使用效率。</w:t>
      </w:r>
    </w:p>
    <w:p>
      <w:pPr>
        <w:pStyle w:val="7"/>
        <w:widowControl/>
        <w:shd w:val="clear" w:color="auto" w:fill="FFFFFF"/>
        <w:spacing w:before="450" w:beforeAutospacing="0" w:afterAutospacing="0" w:line="590" w:lineRule="atLeast"/>
        <w:ind w:firstLine="632"/>
        <w:jc w:val="both"/>
        <w:rPr>
          <w:rFonts w:ascii="Times New Roman" w:hAnsi="Times New Roman"/>
          <w:sz w:val="32"/>
          <w:szCs w:val="32"/>
        </w:rPr>
      </w:pPr>
      <w:r>
        <w:rPr>
          <w:rFonts w:hint="eastAsia" w:ascii="黑体" w:hAnsi="宋体" w:eastAsia="黑体" w:cs="黑体"/>
          <w:color w:val="000000"/>
          <w:spacing w:val="-2"/>
          <w:sz w:val="32"/>
          <w:szCs w:val="32"/>
          <w:shd w:val="clear" w:color="auto" w:fill="FFFFFF"/>
        </w:rPr>
        <w:t>三、资产管理情况</w:t>
      </w:r>
    </w:p>
    <w:p>
      <w:pPr>
        <w:pStyle w:val="7"/>
        <w:widowControl/>
        <w:shd w:val="clear" w:color="auto" w:fill="FFFFFF"/>
        <w:spacing w:before="450" w:beforeAutospacing="0" w:afterAutospacing="0" w:line="590" w:lineRule="atLeast"/>
        <w:ind w:firstLine="632"/>
        <w:jc w:val="both"/>
        <w:rPr>
          <w:rFonts w:hint="eastAsia" w:ascii="仿宋" w:hAnsi="仿宋" w:eastAsia="仿宋" w:cs="仿宋"/>
          <w:color w:val="000000"/>
          <w:spacing w:val="-2"/>
          <w:sz w:val="32"/>
          <w:szCs w:val="32"/>
          <w:shd w:val="clear" w:color="auto" w:fill="FFFFFF"/>
        </w:rPr>
      </w:pPr>
      <w:r>
        <w:rPr>
          <w:rFonts w:hint="eastAsia" w:ascii="仿宋" w:hAnsi="仿宋" w:eastAsia="仿宋" w:cs="仿宋"/>
          <w:color w:val="000000"/>
          <w:spacing w:val="-2"/>
          <w:sz w:val="32"/>
          <w:szCs w:val="32"/>
          <w:shd w:val="clear" w:color="auto" w:fill="FFFFFF"/>
        </w:rPr>
        <w:t>本单位制定了《资产管理制度》、《政府采购制度》、《合同管理制度》，对单位职工基本上每人配置一台电脑、一张办公桌，打印机、文件柜共用，按照内控手册制度和流程执行采购、验收、管理、处理。对购入资产进行登记管理，指定使用人、管理人，存放地点，统一录入资产管理动态系统，对超过一次购入超20万元（含）到财政局办理政府采购审批手续，超过5万元的小于20万元，由单位按询价的方式进行供应商评审后采购。对需处置的资产，找出原始发票凭证，填写处置表，手续齐全，交分管副局长审核，局长审批，交资产股审批，会计上作帐务处理、系统下帐处理。</w:t>
      </w:r>
    </w:p>
    <w:p>
      <w:pPr>
        <w:pStyle w:val="7"/>
        <w:widowControl/>
        <w:shd w:val="clear" w:color="auto" w:fill="FFFFFF"/>
        <w:spacing w:before="450" w:beforeAutospacing="0" w:afterAutospacing="0" w:line="590" w:lineRule="atLeast"/>
        <w:ind w:firstLine="632"/>
        <w:jc w:val="both"/>
        <w:rPr>
          <w:rFonts w:hAnsi="宋体" w:cs="宋体"/>
          <w:sz w:val="30"/>
          <w:szCs w:val="30"/>
        </w:rPr>
      </w:pPr>
      <w:r>
        <w:rPr>
          <w:rFonts w:hint="eastAsia" w:ascii="黑体" w:hAnsi="宋体" w:eastAsia="黑体" w:cs="黑体"/>
          <w:color w:val="000000"/>
          <w:spacing w:val="-2"/>
          <w:sz w:val="32"/>
          <w:szCs w:val="32"/>
          <w:shd w:val="clear" w:color="auto" w:fill="FFFFFF"/>
        </w:rPr>
        <w:t>四、综合管理情况及整体绩效</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（一）综合管理情况</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攸县农业农村局严格按照工作职责，对收支进行严格管理；依法依规收费，严控不合理支出。按照政府采购政策，认真做好采购实施计划，对国有资产和内控制度进行认真管理，及时进行信息公开，认真做好绩效评价，依法接受上级及财政等部门监督。</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（二）整体绩效</w:t>
      </w:r>
    </w:p>
    <w:p>
      <w:pPr>
        <w:pStyle w:val="2"/>
        <w:keepNext w:val="0"/>
        <w:keepLines w:val="0"/>
        <w:pageBreakBefore w:val="0"/>
        <w:kinsoku/>
        <w:overflowPunct/>
        <w:topLinePunct w:val="0"/>
        <w:autoSpaceDE/>
        <w:autoSpaceDN/>
        <w:bidi w:val="0"/>
        <w:spacing w:line="580" w:lineRule="exact"/>
        <w:textAlignment w:val="auto"/>
        <w:rPr>
          <w:rFonts w:hint="eastAsia" w:ascii="仿宋" w:hAnsi="仿宋" w:eastAsia="仿宋" w:cs="仿宋"/>
          <w:color w:val="000000"/>
          <w:spacing w:val="-2"/>
          <w:kern w:val="0"/>
          <w:sz w:val="32"/>
          <w:szCs w:val="32"/>
          <w:shd w:val="clear" w:color="auto" w:fill="FFFFFF"/>
          <w:lang w:val="en-US" w:eastAsia="zh-CN"/>
        </w:rPr>
      </w:pPr>
      <w:r>
        <w:rPr>
          <w:rFonts w:hint="eastAsia" w:ascii="仿宋" w:hAnsi="仿宋" w:eastAsia="仿宋" w:cs="仿宋"/>
          <w:color w:val="000000"/>
          <w:spacing w:val="-2"/>
          <w:kern w:val="0"/>
          <w:sz w:val="32"/>
          <w:szCs w:val="32"/>
          <w:shd w:val="clear" w:color="auto" w:fill="FFFFFF"/>
        </w:rPr>
        <w:t>攸县农业农村局认真按照工作职责，部门工作人员认真履行职责，对各项工作认真负责，</w:t>
      </w:r>
      <w:r>
        <w:rPr>
          <w:rFonts w:hint="default" w:ascii="Times New Roman" w:hAnsi="Times New Roman" w:eastAsia="仿宋_GB2312" w:cs="Times New Roman"/>
          <w:color w:val="auto"/>
          <w:sz w:val="32"/>
          <w:szCs w:val="32"/>
          <w:lang w:val="en-US" w:eastAsia="zh-CN"/>
        </w:rPr>
        <w:t>全年粮</w:t>
      </w:r>
      <w:r>
        <w:rPr>
          <w:rFonts w:hint="default" w:ascii="仿宋" w:hAnsi="仿宋" w:eastAsia="仿宋" w:cs="仿宋"/>
          <w:color w:val="000000"/>
          <w:spacing w:val="-2"/>
          <w:kern w:val="0"/>
          <w:sz w:val="32"/>
          <w:szCs w:val="32"/>
          <w:shd w:val="clear" w:color="auto" w:fill="FFFFFF"/>
          <w:lang w:val="en-US" w:eastAsia="zh-CN"/>
        </w:rPr>
        <w:t>食播种面积92.</w:t>
      </w:r>
      <w:r>
        <w:rPr>
          <w:rFonts w:hint="eastAsia" w:ascii="仿宋" w:hAnsi="仿宋" w:eastAsia="仿宋" w:cs="仿宋"/>
          <w:color w:val="000000"/>
          <w:spacing w:val="-2"/>
          <w:kern w:val="0"/>
          <w:sz w:val="32"/>
          <w:szCs w:val="32"/>
          <w:shd w:val="clear" w:color="auto" w:fill="FFFFFF"/>
          <w:lang w:val="en-US" w:eastAsia="zh-CN"/>
        </w:rPr>
        <w:t>08</w:t>
      </w:r>
      <w:r>
        <w:rPr>
          <w:rFonts w:hint="default" w:ascii="仿宋" w:hAnsi="仿宋" w:eastAsia="仿宋" w:cs="仿宋"/>
          <w:color w:val="000000"/>
          <w:spacing w:val="-2"/>
          <w:kern w:val="0"/>
          <w:sz w:val="32"/>
          <w:szCs w:val="32"/>
          <w:shd w:val="clear" w:color="auto" w:fill="FFFFFF"/>
          <w:lang w:val="en-US" w:eastAsia="zh-CN"/>
        </w:rPr>
        <w:t>万亩，总产量42.</w:t>
      </w:r>
      <w:r>
        <w:rPr>
          <w:rFonts w:hint="eastAsia" w:ascii="仿宋" w:hAnsi="仿宋" w:eastAsia="仿宋" w:cs="仿宋"/>
          <w:color w:val="000000"/>
          <w:spacing w:val="-2"/>
          <w:kern w:val="0"/>
          <w:sz w:val="32"/>
          <w:szCs w:val="32"/>
          <w:shd w:val="clear" w:color="auto" w:fill="FFFFFF"/>
          <w:lang w:val="en-US" w:eastAsia="zh-CN"/>
        </w:rPr>
        <w:t>5</w:t>
      </w:r>
      <w:r>
        <w:rPr>
          <w:rFonts w:hint="default" w:ascii="仿宋" w:hAnsi="仿宋" w:eastAsia="仿宋" w:cs="仿宋"/>
          <w:color w:val="000000"/>
          <w:spacing w:val="-2"/>
          <w:kern w:val="0"/>
          <w:sz w:val="32"/>
          <w:szCs w:val="32"/>
          <w:shd w:val="clear" w:color="auto" w:fill="FFFFFF"/>
          <w:lang w:val="en-US" w:eastAsia="zh-CN"/>
        </w:rPr>
        <w:t>万吨</w:t>
      </w:r>
      <w:r>
        <w:rPr>
          <w:rFonts w:hint="eastAsia" w:ascii="仿宋" w:hAnsi="仿宋" w:eastAsia="仿宋" w:cs="仿宋"/>
          <w:color w:val="000000"/>
          <w:spacing w:val="-2"/>
          <w:kern w:val="0"/>
          <w:sz w:val="32"/>
          <w:szCs w:val="32"/>
          <w:shd w:val="clear" w:color="auto" w:fill="FFFFFF"/>
          <w:lang w:val="en-US" w:eastAsia="zh-CN"/>
        </w:rPr>
        <w:t>，全面完成任务目标。</w:t>
      </w:r>
      <w:r>
        <w:rPr>
          <w:rFonts w:hint="default" w:ascii="仿宋" w:hAnsi="仿宋" w:eastAsia="仿宋" w:cs="仿宋"/>
          <w:color w:val="000000"/>
          <w:spacing w:val="-2"/>
          <w:kern w:val="0"/>
          <w:sz w:val="32"/>
          <w:szCs w:val="32"/>
          <w:shd w:val="clear" w:color="auto" w:fill="FFFFFF"/>
          <w:lang w:val="en-US" w:eastAsia="zh-CN"/>
        </w:rPr>
        <w:t>蔬菜、油菜扩面提质，杂交水稻制种面积超5万亩。深入实施“藏粮于地、藏粮于技”战略，</w:t>
      </w:r>
      <w:r>
        <w:rPr>
          <w:rFonts w:hint="eastAsia" w:ascii="仿宋" w:hAnsi="仿宋" w:eastAsia="仿宋" w:cs="仿宋"/>
          <w:color w:val="000000"/>
          <w:spacing w:val="-2"/>
          <w:kern w:val="0"/>
          <w:sz w:val="32"/>
          <w:szCs w:val="32"/>
          <w:shd w:val="clear" w:color="auto" w:fill="FFFFFF"/>
          <w:lang w:val="en-US" w:eastAsia="zh-CN"/>
        </w:rPr>
        <w:t>现代农业基础更趋稳固，</w:t>
      </w:r>
      <w:r>
        <w:rPr>
          <w:rFonts w:hint="default" w:ascii="仿宋" w:hAnsi="仿宋" w:eastAsia="仿宋" w:cs="仿宋"/>
          <w:color w:val="000000"/>
          <w:spacing w:val="-2"/>
          <w:kern w:val="0"/>
          <w:sz w:val="32"/>
          <w:szCs w:val="32"/>
          <w:shd w:val="clear" w:color="auto" w:fill="FFFFFF"/>
          <w:lang w:val="en-US" w:eastAsia="zh-CN"/>
        </w:rPr>
        <w:t>4.5万亩耕地抛荒治理任务已全面清零</w:t>
      </w:r>
      <w:r>
        <w:rPr>
          <w:rFonts w:hint="eastAsia" w:ascii="仿宋" w:hAnsi="仿宋" w:eastAsia="仿宋" w:cs="仿宋"/>
          <w:color w:val="000000"/>
          <w:spacing w:val="-2"/>
          <w:kern w:val="0"/>
          <w:sz w:val="32"/>
          <w:szCs w:val="32"/>
          <w:shd w:val="clear" w:color="auto" w:fill="FFFFFF"/>
          <w:lang w:val="en-US" w:eastAsia="zh-CN"/>
        </w:rPr>
        <w:t>，</w:t>
      </w:r>
      <w:r>
        <w:rPr>
          <w:rFonts w:hint="default" w:ascii="仿宋" w:hAnsi="仿宋" w:eastAsia="仿宋" w:cs="仿宋"/>
          <w:color w:val="000000"/>
          <w:spacing w:val="-2"/>
          <w:kern w:val="0"/>
          <w:sz w:val="32"/>
          <w:szCs w:val="32"/>
          <w:shd w:val="clear" w:color="auto" w:fill="FFFFFF"/>
          <w:lang w:val="en-US" w:eastAsia="zh-CN"/>
        </w:rPr>
        <w:t>石羊塘镇耕地抛荒治理工作经验获中央新闻联播推介；</w:t>
      </w:r>
      <w:r>
        <w:rPr>
          <w:rFonts w:hint="eastAsia" w:ascii="仿宋" w:hAnsi="仿宋" w:eastAsia="仿宋" w:cs="仿宋"/>
          <w:color w:val="000000"/>
          <w:spacing w:val="-2"/>
          <w:kern w:val="0"/>
          <w:sz w:val="32"/>
          <w:szCs w:val="32"/>
          <w:shd w:val="clear" w:color="auto" w:fill="FFFFFF"/>
          <w:lang w:val="en-US" w:eastAsia="zh-CN"/>
        </w:rPr>
        <w:t>7万亩高标准农田建设在全省率先开工，率先完成主体工程建设，田块整治经验被《中国农业综合开发》刊物推介；</w:t>
      </w:r>
      <w:r>
        <w:rPr>
          <w:rFonts w:hint="default" w:ascii="仿宋" w:hAnsi="仿宋" w:eastAsia="仿宋" w:cs="仿宋"/>
          <w:color w:val="000000"/>
          <w:spacing w:val="-2"/>
          <w:kern w:val="0"/>
          <w:sz w:val="32"/>
          <w:szCs w:val="32"/>
          <w:shd w:val="clear" w:color="auto" w:fill="FFFFFF"/>
          <w:lang w:val="en-US" w:eastAsia="zh-CN"/>
        </w:rPr>
        <w:t>全县</w:t>
      </w:r>
      <w:r>
        <w:rPr>
          <w:rFonts w:hint="eastAsia" w:ascii="仿宋" w:hAnsi="仿宋" w:eastAsia="仿宋" w:cs="仿宋"/>
          <w:color w:val="000000"/>
          <w:spacing w:val="-2"/>
          <w:kern w:val="0"/>
          <w:sz w:val="32"/>
          <w:szCs w:val="32"/>
          <w:shd w:val="clear" w:color="auto" w:fill="FFFFFF"/>
          <w:lang w:val="en-US" w:eastAsia="zh-CN"/>
        </w:rPr>
        <w:t>各类</w:t>
      </w:r>
      <w:r>
        <w:rPr>
          <w:rFonts w:hint="default" w:ascii="仿宋" w:hAnsi="仿宋" w:eastAsia="仿宋" w:cs="仿宋"/>
          <w:color w:val="000000"/>
          <w:spacing w:val="-2"/>
          <w:kern w:val="0"/>
          <w:sz w:val="32"/>
          <w:szCs w:val="32"/>
          <w:shd w:val="clear" w:color="auto" w:fill="FFFFFF"/>
          <w:lang w:val="en-US" w:eastAsia="zh-CN"/>
        </w:rPr>
        <w:t>农机具</w:t>
      </w:r>
      <w:r>
        <w:rPr>
          <w:rFonts w:hint="eastAsia" w:ascii="仿宋" w:hAnsi="仿宋" w:eastAsia="仿宋" w:cs="仿宋"/>
          <w:color w:val="000000"/>
          <w:spacing w:val="-2"/>
          <w:kern w:val="0"/>
          <w:sz w:val="32"/>
          <w:szCs w:val="32"/>
          <w:shd w:val="clear" w:color="auto" w:fill="FFFFFF"/>
          <w:lang w:val="en-US" w:eastAsia="zh-CN"/>
        </w:rPr>
        <w:t>达</w:t>
      </w:r>
      <w:r>
        <w:rPr>
          <w:rFonts w:hint="default" w:ascii="仿宋" w:hAnsi="仿宋" w:eastAsia="仿宋" w:cs="仿宋"/>
          <w:color w:val="000000"/>
          <w:spacing w:val="-2"/>
          <w:kern w:val="0"/>
          <w:sz w:val="32"/>
          <w:szCs w:val="32"/>
          <w:shd w:val="clear" w:color="auto" w:fill="FFFFFF"/>
          <w:lang w:val="en-US" w:eastAsia="zh-CN"/>
        </w:rPr>
        <w:t>10.62万台，</w:t>
      </w:r>
      <w:r>
        <w:rPr>
          <w:rFonts w:hint="eastAsia" w:ascii="仿宋" w:hAnsi="仿宋" w:eastAsia="仿宋" w:cs="仿宋"/>
          <w:color w:val="000000"/>
          <w:spacing w:val="-2"/>
          <w:kern w:val="0"/>
          <w:sz w:val="32"/>
          <w:szCs w:val="32"/>
          <w:shd w:val="clear" w:color="auto" w:fill="FFFFFF"/>
          <w:lang w:val="en-US" w:eastAsia="zh-CN"/>
        </w:rPr>
        <w:t>总动力达118.98万千瓦，主要农作物综合机械化率达75.74%，较上年提高0.62%；新建</w:t>
      </w:r>
      <w:r>
        <w:rPr>
          <w:rFonts w:hint="default" w:ascii="仿宋" w:hAnsi="仿宋" w:eastAsia="仿宋" w:cs="仿宋"/>
          <w:color w:val="000000"/>
          <w:spacing w:val="-2"/>
          <w:kern w:val="0"/>
          <w:sz w:val="32"/>
          <w:szCs w:val="32"/>
          <w:shd w:val="clear" w:color="auto" w:fill="FFFFFF"/>
          <w:lang w:val="en-US" w:eastAsia="zh-CN"/>
        </w:rPr>
        <w:t>冷藏保鲜设施</w:t>
      </w:r>
      <w:r>
        <w:rPr>
          <w:rFonts w:hint="eastAsia" w:ascii="仿宋" w:hAnsi="仿宋" w:eastAsia="仿宋" w:cs="仿宋"/>
          <w:color w:val="000000"/>
          <w:spacing w:val="-2"/>
          <w:kern w:val="0"/>
          <w:sz w:val="32"/>
          <w:szCs w:val="32"/>
          <w:shd w:val="clear" w:color="auto" w:fill="FFFFFF"/>
          <w:lang w:val="en-US" w:eastAsia="zh-CN"/>
        </w:rPr>
        <w:t>14个。</w:t>
      </w:r>
    </w:p>
    <w:p>
      <w:pPr>
        <w:pStyle w:val="2"/>
        <w:keepNext w:val="0"/>
        <w:keepLines w:val="0"/>
        <w:pageBreakBefore w:val="0"/>
        <w:kinsoku/>
        <w:overflowPunct/>
        <w:topLinePunct w:val="0"/>
        <w:autoSpaceDE/>
        <w:autoSpaceDN/>
        <w:bidi w:val="0"/>
        <w:spacing w:line="580" w:lineRule="exact"/>
        <w:textAlignment w:val="auto"/>
        <w:rPr>
          <w:rFonts w:hint="eastAsia" w:ascii="仿宋" w:hAnsi="仿宋" w:eastAsia="仿宋" w:cs="仿宋"/>
          <w:color w:val="000000"/>
          <w:spacing w:val="-2"/>
          <w:kern w:val="0"/>
          <w:sz w:val="32"/>
          <w:szCs w:val="32"/>
          <w:shd w:val="clear" w:color="auto" w:fill="FFFFFF"/>
          <w:lang w:val="en-US" w:eastAsia="zh-CN"/>
        </w:rPr>
      </w:pPr>
      <w:r>
        <w:rPr>
          <w:rFonts w:hint="eastAsia" w:ascii="仿宋" w:hAnsi="仿宋" w:eastAsia="仿宋" w:cs="仿宋"/>
          <w:color w:val="000000"/>
          <w:spacing w:val="-2"/>
          <w:kern w:val="0"/>
          <w:sz w:val="32"/>
          <w:szCs w:val="32"/>
          <w:shd w:val="clear" w:color="auto" w:fill="FFFFFF"/>
          <w:lang w:val="en-US" w:eastAsia="zh-CN"/>
        </w:rPr>
        <w:t>深入实施“六大强农”行动，着力培育壮大农业产业链条。聚力主体培育</w:t>
      </w:r>
      <w:r>
        <w:rPr>
          <w:rFonts w:hint="default" w:ascii="仿宋" w:hAnsi="仿宋" w:eastAsia="仿宋" w:cs="仿宋"/>
          <w:color w:val="000000"/>
          <w:spacing w:val="-2"/>
          <w:kern w:val="0"/>
          <w:sz w:val="32"/>
          <w:szCs w:val="32"/>
          <w:shd w:val="clear" w:color="auto" w:fill="FFFFFF"/>
          <w:lang w:val="en-US" w:eastAsia="zh-CN"/>
        </w:rPr>
        <w:t>，培育省“百企培育”龙头企业、小升规企业</w:t>
      </w:r>
      <w:r>
        <w:rPr>
          <w:rFonts w:hint="eastAsia" w:ascii="仿宋" w:hAnsi="仿宋" w:eastAsia="仿宋" w:cs="仿宋"/>
          <w:color w:val="000000"/>
          <w:spacing w:val="-2"/>
          <w:kern w:val="0"/>
          <w:sz w:val="32"/>
          <w:szCs w:val="32"/>
          <w:shd w:val="clear" w:color="auto" w:fill="FFFFFF"/>
          <w:lang w:val="en-US" w:eastAsia="zh-CN"/>
        </w:rPr>
        <w:t>各</w:t>
      </w:r>
      <w:r>
        <w:rPr>
          <w:rFonts w:hint="default" w:ascii="仿宋" w:hAnsi="仿宋" w:eastAsia="仿宋" w:cs="仿宋"/>
          <w:color w:val="000000"/>
          <w:spacing w:val="-2"/>
          <w:kern w:val="0"/>
          <w:sz w:val="32"/>
          <w:szCs w:val="32"/>
          <w:shd w:val="clear" w:color="auto" w:fill="FFFFFF"/>
          <w:lang w:val="en-US" w:eastAsia="zh-CN"/>
        </w:rPr>
        <w:t>1家</w:t>
      </w:r>
      <w:r>
        <w:rPr>
          <w:rFonts w:hint="eastAsia" w:ascii="仿宋" w:hAnsi="仿宋" w:eastAsia="仿宋" w:cs="仿宋"/>
          <w:color w:val="000000"/>
          <w:spacing w:val="-2"/>
          <w:kern w:val="0"/>
          <w:sz w:val="32"/>
          <w:szCs w:val="32"/>
          <w:shd w:val="clear" w:color="auto" w:fill="FFFFFF"/>
          <w:lang w:val="en-US" w:eastAsia="zh-CN"/>
        </w:rPr>
        <w:t>，</w:t>
      </w:r>
      <w:r>
        <w:rPr>
          <w:rFonts w:hint="default" w:ascii="仿宋" w:hAnsi="仿宋" w:eastAsia="仿宋" w:cs="仿宋"/>
          <w:color w:val="000000"/>
          <w:spacing w:val="-2"/>
          <w:kern w:val="0"/>
          <w:sz w:val="32"/>
          <w:szCs w:val="32"/>
          <w:shd w:val="clear" w:color="auto" w:fill="FFFFFF"/>
          <w:lang w:val="en-US" w:eastAsia="zh-CN"/>
        </w:rPr>
        <w:t>省级现代农业特色产业园1个；新增</w:t>
      </w:r>
      <w:r>
        <w:rPr>
          <w:rFonts w:hint="eastAsia" w:ascii="仿宋" w:hAnsi="仿宋" w:eastAsia="仿宋" w:cs="仿宋"/>
          <w:color w:val="000000"/>
          <w:spacing w:val="-2"/>
          <w:kern w:val="0"/>
          <w:sz w:val="32"/>
          <w:szCs w:val="32"/>
          <w:shd w:val="clear" w:color="auto" w:fill="FFFFFF"/>
          <w:lang w:val="en-US" w:eastAsia="zh-CN"/>
        </w:rPr>
        <w:t>国家级四星休闲农庄1家、国家级生态农场1家、市级以上龙头企业8家、</w:t>
      </w:r>
      <w:r>
        <w:rPr>
          <w:rFonts w:hint="default" w:ascii="仿宋" w:hAnsi="仿宋" w:eastAsia="仿宋" w:cs="仿宋"/>
          <w:color w:val="000000"/>
          <w:spacing w:val="-2"/>
          <w:kern w:val="0"/>
          <w:sz w:val="32"/>
          <w:szCs w:val="32"/>
          <w:shd w:val="clear" w:color="auto" w:fill="FFFFFF"/>
          <w:lang w:val="en-US" w:eastAsia="zh-CN"/>
        </w:rPr>
        <w:t>示范合作社</w:t>
      </w:r>
      <w:r>
        <w:rPr>
          <w:rFonts w:hint="eastAsia" w:ascii="仿宋" w:hAnsi="仿宋" w:eastAsia="仿宋" w:cs="仿宋"/>
          <w:color w:val="000000"/>
          <w:spacing w:val="-2"/>
          <w:kern w:val="0"/>
          <w:sz w:val="32"/>
          <w:szCs w:val="32"/>
          <w:shd w:val="clear" w:color="auto" w:fill="FFFFFF"/>
          <w:lang w:val="en-US" w:eastAsia="zh-CN"/>
        </w:rPr>
        <w:t>20</w:t>
      </w:r>
      <w:r>
        <w:rPr>
          <w:rFonts w:hint="default" w:ascii="仿宋" w:hAnsi="仿宋" w:eastAsia="仿宋" w:cs="仿宋"/>
          <w:color w:val="000000"/>
          <w:spacing w:val="-2"/>
          <w:kern w:val="0"/>
          <w:sz w:val="32"/>
          <w:szCs w:val="32"/>
          <w:shd w:val="clear" w:color="auto" w:fill="FFFFFF"/>
          <w:lang w:val="en-US" w:eastAsia="zh-CN"/>
        </w:rPr>
        <w:t>家、家庭农场</w:t>
      </w:r>
      <w:r>
        <w:rPr>
          <w:rFonts w:hint="eastAsia" w:ascii="仿宋" w:hAnsi="仿宋" w:eastAsia="仿宋" w:cs="仿宋"/>
          <w:color w:val="000000"/>
          <w:spacing w:val="-2"/>
          <w:kern w:val="0"/>
          <w:sz w:val="32"/>
          <w:szCs w:val="32"/>
          <w:shd w:val="clear" w:color="auto" w:fill="FFFFFF"/>
          <w:lang w:val="en-US" w:eastAsia="zh-CN"/>
        </w:rPr>
        <w:t>19</w:t>
      </w:r>
      <w:r>
        <w:rPr>
          <w:rFonts w:hint="default" w:ascii="仿宋" w:hAnsi="仿宋" w:eastAsia="仿宋" w:cs="仿宋"/>
          <w:color w:val="000000"/>
          <w:spacing w:val="-2"/>
          <w:kern w:val="0"/>
          <w:sz w:val="32"/>
          <w:szCs w:val="32"/>
          <w:shd w:val="clear" w:color="auto" w:fill="FFFFFF"/>
          <w:lang w:val="en-US" w:eastAsia="zh-CN"/>
        </w:rPr>
        <w:t>家</w:t>
      </w:r>
      <w:r>
        <w:rPr>
          <w:rFonts w:hint="eastAsia" w:ascii="仿宋" w:hAnsi="仿宋" w:eastAsia="仿宋" w:cs="仿宋"/>
          <w:color w:val="000000"/>
          <w:spacing w:val="-2"/>
          <w:kern w:val="0"/>
          <w:sz w:val="32"/>
          <w:szCs w:val="32"/>
          <w:shd w:val="clear" w:color="auto" w:fill="FFFFFF"/>
          <w:lang w:val="en-US" w:eastAsia="zh-CN"/>
        </w:rPr>
        <w:t>，省级</w:t>
      </w:r>
      <w:r>
        <w:rPr>
          <w:rFonts w:hint="default" w:ascii="仿宋" w:hAnsi="仿宋" w:eastAsia="仿宋" w:cs="仿宋"/>
          <w:color w:val="000000"/>
          <w:spacing w:val="-2"/>
          <w:kern w:val="0"/>
          <w:sz w:val="32"/>
          <w:szCs w:val="32"/>
          <w:shd w:val="clear" w:color="auto" w:fill="FFFFFF"/>
          <w:lang w:val="en-US" w:eastAsia="zh-CN"/>
        </w:rPr>
        <w:t>农机示范社、现代社</w:t>
      </w:r>
      <w:r>
        <w:rPr>
          <w:rFonts w:hint="eastAsia" w:ascii="仿宋" w:hAnsi="仿宋" w:eastAsia="仿宋" w:cs="仿宋"/>
          <w:color w:val="000000"/>
          <w:spacing w:val="-2"/>
          <w:kern w:val="0"/>
          <w:sz w:val="32"/>
          <w:szCs w:val="32"/>
          <w:shd w:val="clear" w:color="auto" w:fill="FFFFFF"/>
          <w:lang w:val="en-US" w:eastAsia="zh-CN"/>
        </w:rPr>
        <w:t>各</w:t>
      </w:r>
      <w:r>
        <w:rPr>
          <w:rFonts w:hint="default" w:ascii="仿宋" w:hAnsi="仿宋" w:eastAsia="仿宋" w:cs="仿宋"/>
          <w:color w:val="000000"/>
          <w:spacing w:val="-2"/>
          <w:kern w:val="0"/>
          <w:sz w:val="32"/>
          <w:szCs w:val="32"/>
          <w:shd w:val="clear" w:color="auto" w:fill="FFFFFF"/>
          <w:lang w:val="en-US" w:eastAsia="zh-CN"/>
        </w:rPr>
        <w:t>1家。</w:t>
      </w:r>
      <w:r>
        <w:rPr>
          <w:rFonts w:hint="eastAsia" w:ascii="仿宋" w:hAnsi="仿宋" w:eastAsia="仿宋" w:cs="仿宋"/>
          <w:color w:val="000000"/>
          <w:spacing w:val="-2"/>
          <w:kern w:val="0"/>
          <w:sz w:val="32"/>
          <w:szCs w:val="32"/>
          <w:shd w:val="clear" w:color="auto" w:fill="FFFFFF"/>
          <w:lang w:val="en-US" w:eastAsia="zh-CN"/>
        </w:rPr>
        <w:t>聚力打响品牌</w:t>
      </w:r>
      <w:r>
        <w:rPr>
          <w:rFonts w:hint="default" w:ascii="仿宋" w:hAnsi="仿宋" w:eastAsia="仿宋" w:cs="仿宋"/>
          <w:color w:val="000000"/>
          <w:spacing w:val="-2"/>
          <w:kern w:val="0"/>
          <w:sz w:val="32"/>
          <w:szCs w:val="32"/>
          <w:shd w:val="clear" w:color="auto" w:fill="FFFFFF"/>
          <w:lang w:val="en-US" w:eastAsia="zh-CN"/>
        </w:rPr>
        <w:t>，湘天华茶油</w:t>
      </w:r>
      <w:r>
        <w:rPr>
          <w:rFonts w:hint="eastAsia" w:ascii="仿宋" w:hAnsi="仿宋" w:eastAsia="仿宋" w:cs="仿宋"/>
          <w:color w:val="000000"/>
          <w:spacing w:val="-2"/>
          <w:kern w:val="0"/>
          <w:sz w:val="32"/>
          <w:szCs w:val="32"/>
          <w:shd w:val="clear" w:color="auto" w:fill="FFFFFF"/>
          <w:lang w:val="en-US" w:eastAsia="zh-CN"/>
        </w:rPr>
        <w:t>、湘东情香干分别</w:t>
      </w:r>
      <w:r>
        <w:rPr>
          <w:rFonts w:hint="default" w:ascii="仿宋" w:hAnsi="仿宋" w:eastAsia="仿宋" w:cs="仿宋"/>
          <w:color w:val="000000"/>
          <w:spacing w:val="-2"/>
          <w:kern w:val="0"/>
          <w:sz w:val="32"/>
          <w:szCs w:val="32"/>
          <w:shd w:val="clear" w:color="auto" w:fill="FFFFFF"/>
          <w:lang w:val="en-US" w:eastAsia="zh-CN"/>
        </w:rPr>
        <w:t>获第二十三届中部（湖南）农博会金奖</w:t>
      </w:r>
      <w:r>
        <w:rPr>
          <w:rFonts w:hint="eastAsia" w:ascii="仿宋" w:hAnsi="仿宋" w:eastAsia="仿宋" w:cs="仿宋"/>
          <w:color w:val="000000"/>
          <w:spacing w:val="-2"/>
          <w:kern w:val="0"/>
          <w:sz w:val="32"/>
          <w:szCs w:val="32"/>
          <w:shd w:val="clear" w:color="auto" w:fill="FFFFFF"/>
          <w:lang w:val="en-US" w:eastAsia="zh-CN"/>
        </w:rPr>
        <w:t>和最受欢迎农产品奖，</w:t>
      </w:r>
      <w:r>
        <w:rPr>
          <w:rFonts w:hint="default" w:ascii="仿宋" w:hAnsi="仿宋" w:eastAsia="仿宋" w:cs="仿宋"/>
          <w:color w:val="000000"/>
          <w:spacing w:val="-2"/>
          <w:kern w:val="0"/>
          <w:sz w:val="32"/>
          <w:szCs w:val="32"/>
          <w:shd w:val="clear" w:color="auto" w:fill="FFFFFF"/>
          <w:lang w:val="en-US" w:eastAsia="zh-CN"/>
        </w:rPr>
        <w:t>鸿华麻鸭获</w:t>
      </w:r>
      <w:r>
        <w:rPr>
          <w:rFonts w:hint="eastAsia" w:ascii="仿宋" w:hAnsi="仿宋" w:eastAsia="仿宋" w:cs="仿宋"/>
          <w:color w:val="000000"/>
          <w:spacing w:val="-2"/>
          <w:kern w:val="0"/>
          <w:sz w:val="32"/>
          <w:szCs w:val="32"/>
          <w:shd w:val="clear" w:color="auto" w:fill="FFFFFF"/>
          <w:lang w:val="en-US" w:eastAsia="zh-CN"/>
        </w:rPr>
        <w:t>第五届</w:t>
      </w:r>
      <w:r>
        <w:rPr>
          <w:rFonts w:hint="default" w:ascii="仿宋" w:hAnsi="仿宋" w:eastAsia="仿宋" w:cs="仿宋"/>
          <w:color w:val="000000"/>
          <w:spacing w:val="-2"/>
          <w:kern w:val="0"/>
          <w:sz w:val="32"/>
          <w:szCs w:val="32"/>
          <w:shd w:val="clear" w:color="auto" w:fill="FFFFFF"/>
          <w:lang w:val="en-US" w:eastAsia="zh-CN"/>
        </w:rPr>
        <w:t>郑州农博会金奖</w:t>
      </w:r>
      <w:r>
        <w:rPr>
          <w:rFonts w:hint="eastAsia" w:ascii="仿宋" w:hAnsi="仿宋" w:eastAsia="仿宋" w:cs="仿宋"/>
          <w:color w:val="000000"/>
          <w:spacing w:val="-2"/>
          <w:kern w:val="0"/>
          <w:sz w:val="32"/>
          <w:szCs w:val="32"/>
          <w:shd w:val="clear" w:color="auto" w:fill="FFFFFF"/>
          <w:lang w:val="en-US" w:eastAsia="zh-CN"/>
        </w:rPr>
        <w:t>，</w:t>
      </w:r>
      <w:r>
        <w:rPr>
          <w:rFonts w:hint="default" w:ascii="仿宋" w:hAnsi="仿宋" w:eastAsia="仿宋" w:cs="仿宋"/>
          <w:color w:val="000000"/>
          <w:spacing w:val="-2"/>
          <w:kern w:val="0"/>
          <w:sz w:val="32"/>
          <w:szCs w:val="32"/>
          <w:shd w:val="clear" w:color="auto" w:fill="FFFFFF"/>
          <w:lang w:val="en-US" w:eastAsia="zh-CN"/>
        </w:rPr>
        <w:t>米粉首次出口远销美国</w:t>
      </w:r>
      <w:r>
        <w:rPr>
          <w:rFonts w:hint="eastAsia" w:ascii="仿宋" w:hAnsi="仿宋" w:eastAsia="仿宋" w:cs="仿宋"/>
          <w:color w:val="000000"/>
          <w:spacing w:val="-2"/>
          <w:kern w:val="0"/>
          <w:sz w:val="32"/>
          <w:szCs w:val="32"/>
          <w:shd w:val="clear" w:color="auto" w:fill="FFFFFF"/>
          <w:lang w:val="en-US" w:eastAsia="zh-CN"/>
        </w:rPr>
        <w:t>，新增湘赣红品牌授权企业3家</w:t>
      </w:r>
      <w:r>
        <w:rPr>
          <w:rFonts w:hint="default" w:ascii="仿宋" w:hAnsi="仿宋" w:eastAsia="仿宋" w:cs="仿宋"/>
          <w:color w:val="000000"/>
          <w:spacing w:val="-2"/>
          <w:kern w:val="0"/>
          <w:sz w:val="32"/>
          <w:szCs w:val="32"/>
          <w:shd w:val="clear" w:color="auto" w:fill="FFFFFF"/>
          <w:lang w:val="en-US" w:eastAsia="zh-CN"/>
        </w:rPr>
        <w:t>，认证“两品一标”</w:t>
      </w:r>
      <w:r>
        <w:rPr>
          <w:rFonts w:hint="eastAsia" w:ascii="仿宋" w:hAnsi="仿宋" w:eastAsia="仿宋" w:cs="仿宋"/>
          <w:color w:val="000000"/>
          <w:spacing w:val="-2"/>
          <w:kern w:val="0"/>
          <w:sz w:val="32"/>
          <w:szCs w:val="32"/>
          <w:shd w:val="clear" w:color="auto" w:fill="FFFFFF"/>
          <w:lang w:val="en-US" w:eastAsia="zh-CN"/>
        </w:rPr>
        <w:t>产品</w:t>
      </w:r>
      <w:r>
        <w:rPr>
          <w:rFonts w:hint="default" w:ascii="仿宋" w:hAnsi="仿宋" w:eastAsia="仿宋" w:cs="仿宋"/>
          <w:color w:val="000000"/>
          <w:spacing w:val="-2"/>
          <w:kern w:val="0"/>
          <w:sz w:val="32"/>
          <w:szCs w:val="32"/>
          <w:shd w:val="clear" w:color="auto" w:fill="FFFFFF"/>
          <w:lang w:val="en-US" w:eastAsia="zh-CN"/>
        </w:rPr>
        <w:t>5个。</w:t>
      </w:r>
      <w:r>
        <w:rPr>
          <w:rFonts w:hint="eastAsia" w:ascii="仿宋" w:hAnsi="仿宋" w:eastAsia="仿宋" w:cs="仿宋"/>
          <w:color w:val="000000"/>
          <w:spacing w:val="-2"/>
          <w:kern w:val="0"/>
          <w:sz w:val="32"/>
          <w:szCs w:val="32"/>
          <w:shd w:val="clear" w:color="auto" w:fill="FFFFFF"/>
          <w:lang w:val="en-US" w:eastAsia="zh-CN"/>
        </w:rPr>
        <w:t>聚力产业融合，启动了</w:t>
      </w:r>
      <w:r>
        <w:rPr>
          <w:rFonts w:hint="default" w:ascii="仿宋" w:hAnsi="仿宋" w:eastAsia="仿宋" w:cs="仿宋"/>
          <w:color w:val="000000"/>
          <w:spacing w:val="-2"/>
          <w:kern w:val="0"/>
          <w:sz w:val="32"/>
          <w:szCs w:val="32"/>
          <w:shd w:val="clear" w:color="auto" w:fill="FFFFFF"/>
          <w:lang w:val="en-US" w:eastAsia="zh-CN"/>
        </w:rPr>
        <w:t>皇图岭香干产业园建设</w:t>
      </w:r>
      <w:r>
        <w:rPr>
          <w:rFonts w:hint="eastAsia" w:ascii="仿宋" w:hAnsi="仿宋" w:eastAsia="仿宋" w:cs="仿宋"/>
          <w:color w:val="000000"/>
          <w:spacing w:val="-2"/>
          <w:kern w:val="0"/>
          <w:sz w:val="32"/>
          <w:szCs w:val="32"/>
          <w:shd w:val="clear" w:color="auto" w:fill="FFFFFF"/>
          <w:lang w:val="en-US" w:eastAsia="zh-CN"/>
        </w:rPr>
        <w:t>；</w:t>
      </w:r>
      <w:r>
        <w:rPr>
          <w:rFonts w:hint="default" w:ascii="仿宋" w:hAnsi="仿宋" w:eastAsia="仿宋" w:cs="仿宋"/>
          <w:color w:val="000000"/>
          <w:spacing w:val="-2"/>
          <w:kern w:val="0"/>
          <w:sz w:val="32"/>
          <w:szCs w:val="32"/>
          <w:shd w:val="clear" w:color="auto" w:fill="FFFFFF"/>
          <w:lang w:val="en-US" w:eastAsia="zh-CN"/>
        </w:rPr>
        <w:t>巩固拓展产业扶贫成果重点项目</w:t>
      </w:r>
      <w:r>
        <w:rPr>
          <w:rFonts w:hint="eastAsia" w:ascii="仿宋" w:hAnsi="仿宋" w:eastAsia="仿宋" w:cs="仿宋"/>
          <w:color w:val="000000"/>
          <w:spacing w:val="-2"/>
          <w:kern w:val="0"/>
          <w:sz w:val="32"/>
          <w:szCs w:val="32"/>
          <w:shd w:val="clear" w:color="auto" w:fill="FFFFFF"/>
          <w:lang w:val="en-US" w:eastAsia="zh-CN"/>
        </w:rPr>
        <w:t>加快建设；全年星级以上休闲农庄接待游客113.62万人次，实现营业收入1.55亿元，同比增长2.65%。聚力科技支撑</w:t>
      </w:r>
      <w:r>
        <w:rPr>
          <w:rFonts w:hint="default" w:ascii="仿宋" w:hAnsi="仿宋" w:eastAsia="仿宋" w:cs="仿宋"/>
          <w:color w:val="000000"/>
          <w:spacing w:val="-2"/>
          <w:kern w:val="0"/>
          <w:sz w:val="32"/>
          <w:szCs w:val="32"/>
          <w:shd w:val="clear" w:color="auto" w:fill="FFFFFF"/>
          <w:lang w:val="en-US" w:eastAsia="zh-CN"/>
        </w:rPr>
        <w:t>，成功争取单杨院士创新团队工作室落户</w:t>
      </w:r>
      <w:r>
        <w:rPr>
          <w:rFonts w:hint="eastAsia" w:ascii="仿宋" w:hAnsi="仿宋" w:eastAsia="仿宋" w:cs="仿宋"/>
          <w:color w:val="000000"/>
          <w:spacing w:val="-2"/>
          <w:kern w:val="0"/>
          <w:sz w:val="32"/>
          <w:szCs w:val="32"/>
          <w:shd w:val="clear" w:color="auto" w:fill="FFFFFF"/>
          <w:lang w:val="en-US" w:eastAsia="zh-CN"/>
        </w:rPr>
        <w:t>，全年共举办各类技术培训班20余期</w:t>
      </w:r>
      <w:r>
        <w:rPr>
          <w:rFonts w:hint="default" w:ascii="仿宋" w:hAnsi="仿宋" w:eastAsia="仿宋" w:cs="仿宋"/>
          <w:color w:val="000000"/>
          <w:spacing w:val="-2"/>
          <w:kern w:val="0"/>
          <w:sz w:val="32"/>
          <w:szCs w:val="32"/>
          <w:shd w:val="clear" w:color="auto" w:fill="FFFFFF"/>
          <w:lang w:val="en-US" w:eastAsia="zh-CN"/>
        </w:rPr>
        <w:t>，选派农业科技特派员6人</w:t>
      </w:r>
      <w:r>
        <w:rPr>
          <w:rFonts w:hint="eastAsia" w:ascii="仿宋" w:hAnsi="仿宋" w:eastAsia="仿宋" w:cs="仿宋"/>
          <w:color w:val="000000"/>
          <w:spacing w:val="-2"/>
          <w:kern w:val="0"/>
          <w:sz w:val="32"/>
          <w:szCs w:val="32"/>
          <w:shd w:val="clear" w:color="auto" w:fill="FFFFFF"/>
          <w:lang w:val="en-US" w:eastAsia="zh-CN"/>
        </w:rPr>
        <w:t>，培训高素质农民210人。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不断优化农业生态环境，</w:t>
      </w:r>
      <w:r>
        <w:rPr>
          <w:rFonts w:hint="default" w:ascii="Times New Roman" w:hAnsi="Times New Roman" w:eastAsia="仿宋_GB2312" w:cs="Times New Roman"/>
          <w:color w:val="auto"/>
          <w:sz w:val="32"/>
          <w:szCs w:val="32"/>
          <w:lang w:val="en-US" w:eastAsia="zh-CN"/>
        </w:rPr>
        <w:t>深入开展农业面源污染防治，</w:t>
      </w:r>
      <w:r>
        <w:rPr>
          <w:rFonts w:hint="eastAsia" w:eastAsia="仿宋_GB2312" w:cs="Times New Roman"/>
          <w:color w:val="auto"/>
          <w:sz w:val="32"/>
          <w:szCs w:val="32"/>
          <w:lang w:val="en-US" w:eastAsia="zh-CN"/>
        </w:rPr>
        <w:t>积极推进化肥农药减量增效、受污染耕地安全利用、秸秆综合利用等工作；</w:t>
      </w:r>
      <w:r>
        <w:rPr>
          <w:rFonts w:hint="default" w:ascii="Times New Roman" w:hAnsi="Times New Roman" w:eastAsia="仿宋_GB2312" w:cs="Times New Roman"/>
          <w:color w:val="auto"/>
          <w:sz w:val="32"/>
          <w:szCs w:val="32"/>
          <w:lang w:val="en-US" w:eastAsia="zh-CN"/>
        </w:rPr>
        <w:t>化肥、农药使用量预计较去年分别减少0.9%、1.5%</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农作物绿色防控覆盖率达到68%，</w:t>
      </w:r>
      <w:r>
        <w:rPr>
          <w:rFonts w:hint="default" w:ascii="Times New Roman" w:hAnsi="Times New Roman" w:eastAsia="仿宋_GB2312" w:cs="Times New Roman"/>
          <w:color w:val="auto"/>
          <w:sz w:val="32"/>
          <w:szCs w:val="32"/>
          <w:highlight w:val="none"/>
        </w:rPr>
        <w:t>受污染耕地安全利用率达到</w:t>
      </w:r>
      <w:r>
        <w:rPr>
          <w:rFonts w:hint="default" w:ascii="Times New Roman" w:hAnsi="Times New Roman"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秸秆综合利用率达90.2%</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lang w:val="en-US" w:eastAsia="zh-CN"/>
        </w:rPr>
        <w:t>积极开展</w:t>
      </w:r>
      <w:r>
        <w:rPr>
          <w:rFonts w:hint="eastAsia" w:eastAsia="仿宋_GB2312" w:cs="Times New Roman"/>
          <w:color w:val="auto"/>
          <w:sz w:val="32"/>
          <w:szCs w:val="32"/>
          <w:lang w:val="en-US" w:eastAsia="zh-CN"/>
        </w:rPr>
        <w:t>美丽乡村、乡村治理</w:t>
      </w:r>
      <w:r>
        <w:rPr>
          <w:rFonts w:hint="default" w:ascii="Times New Roman" w:hAnsi="Times New Roman" w:eastAsia="仿宋_GB2312" w:cs="Times New Roman"/>
          <w:color w:val="auto"/>
          <w:sz w:val="32"/>
          <w:szCs w:val="32"/>
          <w:lang w:val="en-US" w:eastAsia="zh-CN"/>
        </w:rPr>
        <w:t>示范创建，</w:t>
      </w:r>
      <w:r>
        <w:rPr>
          <w:rFonts w:hint="default" w:ascii="Times New Roman" w:hAnsi="Times New Roman" w:eastAsia="仿宋_GB2312" w:cs="Times New Roman"/>
          <w:kern w:val="2"/>
          <w:sz w:val="32"/>
          <w:szCs w:val="32"/>
          <w:lang w:val="en-US" w:eastAsia="zh-CN" w:bidi="ar"/>
        </w:rPr>
        <w:t>酒仙湖村成功入选省级美丽乡村示范村</w:t>
      </w:r>
      <w:r>
        <w:rPr>
          <w:rFonts w:hint="default" w:ascii="Times New Roman" w:hAnsi="Times New Roman" w:eastAsia="仿宋_GB2312" w:cs="Times New Roman"/>
          <w:sz w:val="32"/>
          <w:szCs w:val="32"/>
          <w:lang w:val="en-US" w:eastAsia="zh-CN"/>
        </w:rPr>
        <w:t>，成功创建市级乡村治理示范镇村2个、县级美丽乡村示范村</w:t>
      </w:r>
      <w:r>
        <w:rPr>
          <w:rFonts w:hint="eastAsia" w:eastAsia="仿宋_GB2312" w:cs="Times New Roman"/>
          <w:color w:val="auto"/>
          <w:sz w:val="32"/>
          <w:szCs w:val="32"/>
          <w:lang w:val="en-US" w:eastAsia="zh-CN"/>
        </w:rPr>
        <w:t>32个</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围绕农资市场、“十年禁渔”</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农产品质量安全</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农村乱占耕地</w:t>
      </w:r>
      <w:r>
        <w:rPr>
          <w:rFonts w:hint="eastAsia" w:ascii="Times New Roman" w:hAnsi="Times New Roman" w:eastAsia="仿宋_GB2312" w:cs="Times New Roman"/>
          <w:color w:val="auto"/>
          <w:sz w:val="32"/>
          <w:szCs w:val="32"/>
          <w:lang w:val="en-US" w:eastAsia="zh-CN"/>
        </w:rPr>
        <w:t>等重点领域开展专项执法行动，全力保障农业生产秩序安全</w:t>
      </w:r>
      <w:r>
        <w:rPr>
          <w:rFonts w:hint="eastAsia" w:eastAsia="仿宋_GB2312" w:cs="Times New Roman"/>
          <w:color w:val="auto"/>
          <w:sz w:val="32"/>
          <w:szCs w:val="32"/>
          <w:lang w:val="en-US" w:eastAsia="zh-CN"/>
        </w:rPr>
        <w:t>。全年共</w:t>
      </w:r>
      <w:r>
        <w:rPr>
          <w:rFonts w:hint="eastAsia" w:ascii="Times New Roman" w:hAnsi="Times New Roman" w:eastAsia="仿宋_GB2312" w:cs="Times New Roman"/>
          <w:color w:val="auto"/>
          <w:sz w:val="32"/>
          <w:szCs w:val="32"/>
          <w:lang w:val="en-US" w:eastAsia="zh-CN"/>
        </w:rPr>
        <w:t>出动执法人员18</w:t>
      </w:r>
      <w:r>
        <w:rPr>
          <w:rFonts w:hint="eastAsia" w:eastAsia="仿宋_GB2312" w:cs="Times New Roman"/>
          <w:color w:val="auto"/>
          <w:sz w:val="32"/>
          <w:szCs w:val="32"/>
          <w:lang w:val="en-US" w:eastAsia="zh-CN"/>
        </w:rPr>
        <w:t>00</w:t>
      </w:r>
      <w:r>
        <w:rPr>
          <w:rFonts w:hint="eastAsia" w:ascii="Times New Roman" w:hAnsi="Times New Roman" w:eastAsia="仿宋_GB2312" w:cs="Times New Roman"/>
          <w:color w:val="auto"/>
          <w:sz w:val="32"/>
          <w:szCs w:val="32"/>
          <w:lang w:val="en-US" w:eastAsia="zh-CN"/>
        </w:rPr>
        <w:t>余人次</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检查农资经营门店258个次、种植</w:t>
      </w:r>
      <w:r>
        <w:rPr>
          <w:rFonts w:hint="eastAsia" w:eastAsia="仿宋_GB2312" w:cs="Times New Roman"/>
          <w:color w:val="auto"/>
          <w:sz w:val="32"/>
          <w:szCs w:val="32"/>
          <w:lang w:val="en-US" w:eastAsia="zh-CN"/>
        </w:rPr>
        <w:t>和</w:t>
      </w:r>
      <w:r>
        <w:rPr>
          <w:rFonts w:hint="eastAsia" w:ascii="Times New Roman" w:hAnsi="Times New Roman" w:eastAsia="仿宋_GB2312" w:cs="Times New Roman"/>
          <w:color w:val="auto"/>
          <w:sz w:val="32"/>
          <w:szCs w:val="32"/>
          <w:lang w:val="en-US" w:eastAsia="zh-CN"/>
        </w:rPr>
        <w:t>制种户</w:t>
      </w:r>
      <w:r>
        <w:rPr>
          <w:rFonts w:hint="eastAsia" w:eastAsia="仿宋_GB2312" w:cs="Times New Roman"/>
          <w:color w:val="auto"/>
          <w:sz w:val="32"/>
          <w:szCs w:val="32"/>
          <w:lang w:val="en-US" w:eastAsia="zh-CN"/>
        </w:rPr>
        <w:t>537</w:t>
      </w:r>
      <w:r>
        <w:rPr>
          <w:rFonts w:hint="eastAsia" w:ascii="Times New Roman" w:hAnsi="Times New Roman" w:eastAsia="仿宋_GB2312" w:cs="Times New Roman"/>
          <w:color w:val="auto"/>
          <w:sz w:val="32"/>
          <w:szCs w:val="32"/>
          <w:lang w:val="en-US" w:eastAsia="zh-CN"/>
        </w:rPr>
        <w:t>户</w:t>
      </w:r>
      <w:r>
        <w:rPr>
          <w:rFonts w:hint="eastAsia" w:eastAsia="仿宋_GB2312" w:cs="Times New Roman"/>
          <w:color w:val="auto"/>
          <w:sz w:val="32"/>
          <w:szCs w:val="32"/>
          <w:lang w:val="en-US" w:eastAsia="zh-CN"/>
        </w:rPr>
        <w:t>次，</w:t>
      </w:r>
      <w:r>
        <w:rPr>
          <w:rFonts w:hint="eastAsia" w:ascii="Times New Roman" w:hAnsi="Times New Roman" w:eastAsia="仿宋_GB2312" w:cs="Times New Roman"/>
          <w:color w:val="auto"/>
          <w:sz w:val="32"/>
          <w:szCs w:val="32"/>
          <w:lang w:val="en-US" w:eastAsia="zh-CN"/>
        </w:rPr>
        <w:t>责令限期改正16起，执法抽样检测种子产品1个；开展“洞庭清波”专项整治行动，拆除酒埠江水库水泥渔排30处，废弃网箱7处</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查处办理非法捕捞案件14起，17人次</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完成农产品</w:t>
      </w:r>
      <w:r>
        <w:rPr>
          <w:rFonts w:hint="eastAsia" w:eastAsia="仿宋_GB2312" w:cs="Times New Roman"/>
          <w:color w:val="auto"/>
          <w:sz w:val="32"/>
          <w:szCs w:val="32"/>
          <w:lang w:val="en-US" w:eastAsia="zh-CN"/>
        </w:rPr>
        <w:t>质量安全</w:t>
      </w:r>
      <w:r>
        <w:rPr>
          <w:rFonts w:hint="eastAsia" w:ascii="Times New Roman" w:hAnsi="Times New Roman" w:eastAsia="仿宋_GB2312" w:cs="Times New Roman"/>
          <w:color w:val="auto"/>
          <w:sz w:val="32"/>
          <w:szCs w:val="32"/>
          <w:lang w:val="en-US" w:eastAsia="zh-CN"/>
        </w:rPr>
        <w:t>检测</w:t>
      </w:r>
      <w:r>
        <w:rPr>
          <w:rFonts w:hint="eastAsia" w:eastAsia="仿宋_GB2312" w:cs="Times New Roman"/>
          <w:color w:val="auto"/>
          <w:sz w:val="32"/>
          <w:szCs w:val="32"/>
          <w:lang w:val="en-US" w:eastAsia="zh-CN"/>
        </w:rPr>
        <w:t>7300余</w:t>
      </w:r>
      <w:r>
        <w:rPr>
          <w:rFonts w:hint="eastAsia" w:ascii="Times New Roman" w:hAnsi="Times New Roman" w:eastAsia="仿宋_GB2312" w:cs="Times New Roman"/>
          <w:color w:val="auto"/>
          <w:sz w:val="32"/>
          <w:szCs w:val="32"/>
          <w:lang w:val="en-US" w:eastAsia="zh-CN"/>
        </w:rPr>
        <w:t>批次，合格率100%</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调查处置各类农村非法占地建房1</w:t>
      </w: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lang w:val="en-US" w:eastAsia="zh-CN"/>
        </w:rPr>
        <w:t>起</w:t>
      </w:r>
      <w:r>
        <w:rPr>
          <w:rFonts w:hint="eastAsia" w:ascii="Times New Roman" w:hAnsi="Times New Roman" w:eastAsia="仿宋_GB2312" w:cs="Times New Roman"/>
          <w:color w:val="auto"/>
          <w:sz w:val="32"/>
          <w:szCs w:val="32"/>
          <w:lang w:val="en-US" w:eastAsia="zh-CN"/>
        </w:rPr>
        <w:t>；完成变型拖拉机</w:t>
      </w:r>
      <w:r>
        <w:rPr>
          <w:rFonts w:hint="default" w:ascii="Times New Roman" w:hAnsi="Times New Roman" w:eastAsia="仿宋_GB2312" w:cs="Times New Roman"/>
          <w:color w:val="auto"/>
          <w:sz w:val="32"/>
          <w:szCs w:val="32"/>
          <w:lang w:val="en-US" w:eastAsia="zh-CN"/>
        </w:rPr>
        <w:t>报废拆解</w:t>
      </w:r>
      <w:r>
        <w:rPr>
          <w:rFonts w:hint="eastAsia" w:ascii="Times New Roman" w:hAnsi="Times New Roman" w:eastAsia="仿宋_GB2312" w:cs="Times New Roman"/>
          <w:color w:val="auto"/>
          <w:sz w:val="32"/>
          <w:szCs w:val="32"/>
          <w:lang w:val="en-US" w:eastAsia="zh-CN"/>
        </w:rPr>
        <w:t>变型拖拉机181</w:t>
      </w:r>
      <w:r>
        <w:rPr>
          <w:rFonts w:hint="default" w:ascii="Times New Roman" w:hAnsi="Times New Roman" w:eastAsia="仿宋_GB2312" w:cs="Times New Roman"/>
          <w:color w:val="auto"/>
          <w:sz w:val="32"/>
          <w:szCs w:val="32"/>
          <w:lang w:val="en-US" w:eastAsia="zh-CN"/>
        </w:rPr>
        <w:t>台。</w:t>
      </w:r>
    </w:p>
    <w:p>
      <w:pPr>
        <w:pStyle w:val="2"/>
        <w:rPr>
          <w:rFonts w:hint="default" w:ascii="仿宋" w:hAnsi="仿宋" w:eastAsia="仿宋" w:cs="仿宋"/>
          <w:color w:val="000000"/>
          <w:spacing w:val="-2"/>
          <w:kern w:val="0"/>
          <w:sz w:val="32"/>
          <w:szCs w:val="32"/>
          <w:shd w:val="clear" w:color="auto" w:fill="FFFFFF"/>
          <w:lang w:val="en-US" w:eastAsia="zh-CN"/>
        </w:rPr>
      </w:pPr>
      <w:r>
        <w:rPr>
          <w:rFonts w:hint="eastAsia" w:ascii="Times New Roman" w:hAnsi="Times New Roman" w:eastAsia="仿宋_GB2312" w:cs="Times New Roman"/>
          <w:color w:val="auto"/>
          <w:kern w:val="2"/>
          <w:sz w:val="32"/>
          <w:szCs w:val="32"/>
          <w:lang w:val="en-US" w:eastAsia="zh-CN" w:bidi="ar-SA"/>
        </w:rPr>
        <w:t>积极推进村</w:t>
      </w:r>
      <w:r>
        <w:rPr>
          <w:rFonts w:hint="default" w:ascii="Times New Roman" w:hAnsi="Times New Roman" w:eastAsia="仿宋_GB2312" w:cs="Times New Roman"/>
          <w:color w:val="auto"/>
          <w:kern w:val="2"/>
          <w:sz w:val="32"/>
          <w:szCs w:val="32"/>
          <w:lang w:val="en-US" w:eastAsia="zh-CN" w:bidi="ar-SA"/>
        </w:rPr>
        <w:t>集体经济“消薄增强”，全县43个薄弱村已全部清零，</w:t>
      </w:r>
      <w:r>
        <w:rPr>
          <w:rFonts w:hint="eastAsia" w:ascii="Times New Roman" w:hAnsi="Times New Roman" w:eastAsia="仿宋_GB2312" w:cs="Times New Roman"/>
          <w:color w:val="auto"/>
          <w:kern w:val="2"/>
          <w:sz w:val="32"/>
          <w:szCs w:val="32"/>
          <w:lang w:val="en-US" w:eastAsia="zh-CN" w:bidi="ar-SA"/>
        </w:rPr>
        <w:t>经营性收入10万元以上的村增加50个，任务完成率100%</w:t>
      </w:r>
      <w:r>
        <w:rPr>
          <w:rFonts w:hint="default" w:ascii="Times New Roman" w:hAnsi="Times New Roman" w:eastAsia="仿宋_GB2312" w:cs="Times New Roman"/>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推进“村社分账”管理改革试点，</w:t>
      </w:r>
      <w:r>
        <w:rPr>
          <w:rFonts w:hint="default" w:ascii="Times New Roman" w:hAnsi="Times New Roman" w:eastAsia="仿宋_GB2312" w:cs="Times New Roman"/>
          <w:color w:val="auto"/>
          <w:kern w:val="2"/>
          <w:sz w:val="32"/>
          <w:szCs w:val="32"/>
          <w:lang w:val="en-US" w:eastAsia="zh-CN" w:bidi="ar-SA"/>
        </w:rPr>
        <w:t>基本完成</w:t>
      </w:r>
      <w:r>
        <w:rPr>
          <w:rFonts w:hint="eastAsia" w:ascii="Times New Roman" w:hAnsi="Times New Roman" w:eastAsia="仿宋_GB2312" w:cs="Times New Roman"/>
          <w:color w:val="auto"/>
          <w:kern w:val="2"/>
          <w:sz w:val="32"/>
          <w:szCs w:val="32"/>
          <w:lang w:val="en-US" w:eastAsia="zh-CN" w:bidi="ar-SA"/>
        </w:rPr>
        <w:t>全县</w:t>
      </w:r>
      <w:r>
        <w:rPr>
          <w:rFonts w:hint="default" w:ascii="Times New Roman" w:hAnsi="Times New Roman" w:eastAsia="仿宋_GB2312" w:cs="Times New Roman"/>
          <w:color w:val="auto"/>
          <w:kern w:val="2"/>
          <w:sz w:val="32"/>
          <w:szCs w:val="32"/>
          <w:lang w:val="en-US" w:eastAsia="zh-CN" w:bidi="ar-SA"/>
        </w:rPr>
        <w:t>“村社分账”</w:t>
      </w:r>
      <w:r>
        <w:rPr>
          <w:rFonts w:hint="eastAsia" w:ascii="Times New Roman" w:hAnsi="Times New Roman" w:eastAsia="仿宋_GB2312" w:cs="Times New Roman"/>
          <w:color w:val="auto"/>
          <w:kern w:val="2"/>
          <w:sz w:val="32"/>
          <w:szCs w:val="32"/>
          <w:lang w:val="en-US" w:eastAsia="zh-CN" w:bidi="ar-SA"/>
        </w:rPr>
        <w:t>任务。</w:t>
      </w:r>
      <w:r>
        <w:rPr>
          <w:rFonts w:hint="default" w:ascii="Times New Roman" w:hAnsi="Times New Roman" w:eastAsia="仿宋_GB2312" w:cs="Times New Roman"/>
          <w:color w:val="auto"/>
          <w:kern w:val="2"/>
          <w:sz w:val="32"/>
          <w:szCs w:val="32"/>
          <w:lang w:val="en-US" w:eastAsia="zh-CN" w:bidi="ar-SA"/>
        </w:rPr>
        <w:t>开展农村集体“三资”管理专项整治，清理整治资金2435万元。</w:t>
      </w:r>
      <w:r>
        <w:rPr>
          <w:rFonts w:hint="eastAsia" w:ascii="Times New Roman" w:hAnsi="Times New Roman" w:eastAsia="仿宋_GB2312" w:cs="Times New Roman"/>
          <w:color w:val="auto"/>
          <w:kern w:val="2"/>
          <w:sz w:val="32"/>
          <w:szCs w:val="32"/>
          <w:lang w:val="en-US" w:eastAsia="zh-CN" w:bidi="ar-SA"/>
        </w:rPr>
        <w:t>加强宅基地管理，</w:t>
      </w:r>
      <w:r>
        <w:rPr>
          <w:rFonts w:hint="default" w:ascii="Times New Roman" w:hAnsi="Times New Roman" w:eastAsia="仿宋_GB2312" w:cs="Times New Roman"/>
          <w:color w:val="auto"/>
          <w:kern w:val="2"/>
          <w:sz w:val="32"/>
          <w:szCs w:val="32"/>
          <w:lang w:val="en-US" w:eastAsia="zh-CN" w:bidi="ar-SA"/>
        </w:rPr>
        <w:t>组织开展农村宅基地相关政策文件解读暨宅基地审批业务培训，</w:t>
      </w:r>
      <w:r>
        <w:rPr>
          <w:rFonts w:hint="eastAsia" w:ascii="Times New Roman" w:hAnsi="Times New Roman" w:eastAsia="仿宋_GB2312" w:cs="Times New Roman"/>
          <w:color w:val="auto"/>
          <w:kern w:val="2"/>
          <w:sz w:val="32"/>
          <w:szCs w:val="32"/>
          <w:lang w:val="en-US" w:eastAsia="zh-CN" w:bidi="ar-SA"/>
        </w:rPr>
        <w:t>全年审批在建民房1673宗。</w:t>
      </w:r>
      <w:r>
        <w:rPr>
          <w:rFonts w:hint="default" w:ascii="Times New Roman" w:hAnsi="Times New Roman" w:eastAsia="仿宋_GB2312" w:cs="Times New Roman"/>
          <w:color w:val="auto"/>
          <w:kern w:val="2"/>
          <w:sz w:val="32"/>
          <w:szCs w:val="32"/>
          <w:lang w:val="en-US" w:eastAsia="zh-CN" w:bidi="ar-SA"/>
        </w:rPr>
        <w:t>持续</w:t>
      </w:r>
      <w:r>
        <w:rPr>
          <w:rFonts w:hint="eastAsia" w:ascii="Times New Roman" w:hAnsi="Times New Roman" w:eastAsia="仿宋_GB2312" w:cs="Times New Roman"/>
          <w:color w:val="auto"/>
          <w:kern w:val="2"/>
          <w:sz w:val="32"/>
          <w:szCs w:val="32"/>
          <w:lang w:val="en-US" w:eastAsia="zh-CN" w:bidi="ar-SA"/>
        </w:rPr>
        <w:t>完善</w:t>
      </w:r>
      <w:r>
        <w:rPr>
          <w:rFonts w:hint="default" w:ascii="Times New Roman" w:hAnsi="Times New Roman" w:eastAsia="仿宋_GB2312" w:cs="Times New Roman"/>
          <w:color w:val="auto"/>
          <w:kern w:val="2"/>
          <w:sz w:val="32"/>
          <w:szCs w:val="32"/>
          <w:lang w:val="en-US" w:eastAsia="zh-CN" w:bidi="ar-SA"/>
        </w:rPr>
        <w:t>产权交易平台建设，</w:t>
      </w:r>
      <w:r>
        <w:rPr>
          <w:rFonts w:hint="eastAsia" w:ascii="Times New Roman" w:hAnsi="Times New Roman" w:eastAsia="仿宋_GB2312" w:cs="Times New Roman"/>
          <w:color w:val="auto"/>
          <w:kern w:val="2"/>
          <w:sz w:val="32"/>
          <w:szCs w:val="32"/>
          <w:lang w:val="en-US" w:eastAsia="zh-CN" w:bidi="ar-SA"/>
        </w:rPr>
        <w:t>全年完成项目入场56宗，总面积2.52万亩，交易金额4739.66万元。县域经济高质量发展工作顺利交接，建立健全工作机制，出台了工作方案。</w:t>
      </w:r>
    </w:p>
    <w:p>
      <w:pPr>
        <w:spacing w:line="600" w:lineRule="exact"/>
        <w:ind w:firstLine="632" w:firstLineChars="200"/>
        <w:rPr>
          <w:rFonts w:ascii="仿宋" w:hAnsi="仿宋" w:eastAsia="仿宋" w:cs="仿宋"/>
          <w:color w:val="000000"/>
          <w:spacing w:val="-2"/>
          <w:kern w:val="0"/>
          <w:sz w:val="32"/>
          <w:szCs w:val="32"/>
          <w:shd w:val="clear" w:color="auto" w:fill="FFFFFF"/>
        </w:rPr>
      </w:pPr>
    </w:p>
    <w:p>
      <w:pPr>
        <w:ind w:firstLine="560" w:firstLineChars="200"/>
        <w:rPr>
          <w:rFonts w:ascii="方正黑体简体" w:hAnsi="方正黑体简体" w:eastAsia="方正黑体简体" w:cs="方正黑体简体"/>
          <w:b/>
          <w:bCs/>
          <w:sz w:val="28"/>
          <w:szCs w:val="28"/>
        </w:rPr>
      </w:pPr>
      <w:r>
        <w:rPr>
          <w:rFonts w:hint="eastAsia" w:ascii="方正黑体简体" w:hAnsi="方正黑体简体" w:eastAsia="方正黑体简体" w:cs="方正黑体简体"/>
          <w:b/>
          <w:bCs/>
          <w:sz w:val="28"/>
          <w:szCs w:val="28"/>
        </w:rPr>
        <w:t>五、评价结论、存在问题及建议</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（一）评价结论：攸县农业农村局部门预算执行情况良好，无不良记录及违规违纪行为，预算支出和决算支出情况相符。</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（二）存在问题：一是预算经费支出明细科目与支出明细科目存在差异；二是部门决算上报处理效率还待提升。</w:t>
      </w:r>
    </w:p>
    <w:p>
      <w:pPr>
        <w:pStyle w:val="4"/>
        <w:spacing w:line="600" w:lineRule="exact"/>
        <w:ind w:firstLine="632" w:firstLineChars="200"/>
        <w:rPr>
          <w:rFonts w:ascii="仿宋" w:hAnsi="仿宋" w:eastAsia="仿宋" w:cs="仿宋"/>
          <w:color w:val="000000"/>
          <w:spacing w:val="-2"/>
          <w:kern w:val="0"/>
          <w:sz w:val="32"/>
          <w:szCs w:val="32"/>
          <w:shd w:val="clear" w:color="auto" w:fill="FFFFFF"/>
        </w:rPr>
      </w:pPr>
      <w:r>
        <w:rPr>
          <w:rFonts w:hint="eastAsia" w:ascii="仿宋" w:hAnsi="仿宋" w:eastAsia="仿宋" w:cs="仿宋"/>
          <w:color w:val="000000"/>
          <w:spacing w:val="-2"/>
          <w:kern w:val="0"/>
          <w:sz w:val="32"/>
          <w:szCs w:val="32"/>
          <w:shd w:val="clear" w:color="auto" w:fill="FFFFFF"/>
        </w:rPr>
        <w:t>（三）改进建议：加快完善相应制度建设和账务处理。</w:t>
      </w:r>
    </w:p>
    <w:p>
      <w:pPr>
        <w:pStyle w:val="4"/>
        <w:spacing w:line="600" w:lineRule="exact"/>
        <w:ind w:firstLine="3640" w:firstLineChars="1300"/>
        <w:rPr>
          <w:rFonts w:hint="eastAsia" w:ascii="方正书宋简体" w:hAnsi="方正书宋简体" w:eastAsia="方正书宋简体" w:cs="方正书宋简体"/>
          <w:sz w:val="28"/>
          <w:szCs w:val="28"/>
        </w:rPr>
      </w:pPr>
    </w:p>
    <w:p>
      <w:pPr>
        <w:pStyle w:val="4"/>
        <w:spacing w:line="600" w:lineRule="exact"/>
        <w:ind w:firstLine="5320" w:firstLineChars="1900"/>
        <w:rPr>
          <w:rFonts w:ascii="方正书宋简体" w:hAnsi="方正书宋简体" w:eastAsia="方正书宋简体" w:cs="方正书宋简体"/>
          <w:sz w:val="28"/>
          <w:szCs w:val="28"/>
        </w:rPr>
      </w:pPr>
      <w:r>
        <w:rPr>
          <w:rFonts w:hint="eastAsia" w:ascii="方正书宋简体" w:hAnsi="方正书宋简体" w:eastAsia="方正书宋简体" w:cs="方正书宋简体"/>
          <w:sz w:val="28"/>
          <w:szCs w:val="28"/>
        </w:rPr>
        <w:t>202</w:t>
      </w:r>
      <w:r>
        <w:rPr>
          <w:rFonts w:hint="eastAsia" w:ascii="方正书宋简体" w:hAnsi="方正书宋简体" w:eastAsia="方正书宋简体" w:cs="方正书宋简体"/>
          <w:sz w:val="28"/>
          <w:szCs w:val="28"/>
          <w:lang w:val="en-US" w:eastAsia="zh-CN"/>
        </w:rPr>
        <w:t>3</w:t>
      </w:r>
      <w:r>
        <w:rPr>
          <w:rFonts w:hint="eastAsia" w:ascii="方正书宋简体" w:hAnsi="方正书宋简体" w:eastAsia="方正书宋简体" w:cs="方正书宋简体"/>
          <w:sz w:val="28"/>
          <w:szCs w:val="28"/>
        </w:rPr>
        <w:t>年</w:t>
      </w:r>
      <w:r>
        <w:rPr>
          <w:rFonts w:hint="eastAsia" w:ascii="方正书宋简体" w:hAnsi="方正书宋简体" w:eastAsia="方正书宋简体" w:cs="方正书宋简体"/>
          <w:sz w:val="28"/>
          <w:szCs w:val="28"/>
          <w:lang w:val="en-US" w:eastAsia="zh-CN"/>
        </w:rPr>
        <w:t>9</w:t>
      </w:r>
      <w:r>
        <w:rPr>
          <w:rFonts w:hint="eastAsia" w:ascii="方正书宋简体" w:hAnsi="方正书宋简体" w:eastAsia="方正书宋简体" w:cs="方正书宋简体"/>
          <w:sz w:val="28"/>
          <w:szCs w:val="28"/>
        </w:rPr>
        <w:t>月</w:t>
      </w:r>
      <w:r>
        <w:rPr>
          <w:rFonts w:hint="eastAsia" w:ascii="方正书宋简体" w:hAnsi="方正书宋简体" w:eastAsia="方正书宋简体" w:cs="方正书宋简体"/>
          <w:sz w:val="28"/>
          <w:szCs w:val="28"/>
          <w:lang w:val="en-US" w:eastAsia="zh-CN"/>
        </w:rPr>
        <w:t>21</w:t>
      </w:r>
      <w:r>
        <w:rPr>
          <w:rFonts w:hint="eastAsia" w:ascii="方正书宋简体" w:hAnsi="方正书宋简体" w:eastAsia="方正书宋简体" w:cs="方正书宋简体"/>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font-size:10.5pt;white-space:normal;">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1944E6"/>
    <w:rsid w:val="00032699"/>
    <w:rsid w:val="002F78B4"/>
    <w:rsid w:val="004221E1"/>
    <w:rsid w:val="006207B3"/>
    <w:rsid w:val="00C65256"/>
    <w:rsid w:val="00EF23EF"/>
    <w:rsid w:val="00F8010E"/>
    <w:rsid w:val="01D0416F"/>
    <w:rsid w:val="02406227"/>
    <w:rsid w:val="03D60BFB"/>
    <w:rsid w:val="094728C6"/>
    <w:rsid w:val="098D21BC"/>
    <w:rsid w:val="0ADF0A73"/>
    <w:rsid w:val="0B1944E6"/>
    <w:rsid w:val="111656B7"/>
    <w:rsid w:val="119009A6"/>
    <w:rsid w:val="15CD2125"/>
    <w:rsid w:val="187223DD"/>
    <w:rsid w:val="187A67AD"/>
    <w:rsid w:val="197B249D"/>
    <w:rsid w:val="1B325DF6"/>
    <w:rsid w:val="1C79295C"/>
    <w:rsid w:val="24A407F5"/>
    <w:rsid w:val="27B75643"/>
    <w:rsid w:val="29A90AF7"/>
    <w:rsid w:val="2A24120E"/>
    <w:rsid w:val="2C6B47A6"/>
    <w:rsid w:val="2DCB5FCB"/>
    <w:rsid w:val="31C32816"/>
    <w:rsid w:val="330F034E"/>
    <w:rsid w:val="33206C16"/>
    <w:rsid w:val="3CD27F62"/>
    <w:rsid w:val="3FD04425"/>
    <w:rsid w:val="40EE30D7"/>
    <w:rsid w:val="46424FDD"/>
    <w:rsid w:val="480D5A87"/>
    <w:rsid w:val="4C11145F"/>
    <w:rsid w:val="4C8132F4"/>
    <w:rsid w:val="4CC54E0D"/>
    <w:rsid w:val="4D637B7D"/>
    <w:rsid w:val="4DFD64D4"/>
    <w:rsid w:val="4F3D3FCD"/>
    <w:rsid w:val="51B93EAB"/>
    <w:rsid w:val="54505D39"/>
    <w:rsid w:val="55D0069F"/>
    <w:rsid w:val="5B3D42AE"/>
    <w:rsid w:val="5CD03C53"/>
    <w:rsid w:val="5FF800D8"/>
    <w:rsid w:val="62F2786C"/>
    <w:rsid w:val="63D718DB"/>
    <w:rsid w:val="6562738E"/>
    <w:rsid w:val="6629360B"/>
    <w:rsid w:val="6AAF54B3"/>
    <w:rsid w:val="6BCA1089"/>
    <w:rsid w:val="6D3D6DC9"/>
    <w:rsid w:val="715D6AEE"/>
    <w:rsid w:val="74490061"/>
    <w:rsid w:val="75A43C65"/>
    <w:rsid w:val="7AB1248B"/>
    <w:rsid w:val="7C8E5DF9"/>
    <w:rsid w:val="7E871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index 8"/>
    <w:basedOn w:val="1"/>
    <w:next w:val="1"/>
    <w:unhideWhenUsed/>
    <w:qFormat/>
    <w:uiPriority w:val="99"/>
    <w:pPr>
      <w:ind w:firstLine="643" w:firstLineChars="200"/>
      <w:jc w:val="left"/>
    </w:pPr>
    <w:rPr>
      <w:sz w:val="32"/>
    </w:rPr>
  </w:style>
  <w:style w:type="paragraph" w:styleId="4">
    <w:name w:val="Plain Text"/>
    <w:basedOn w:val="1"/>
    <w:qFormat/>
    <w:uiPriority w:val="0"/>
    <w:rPr>
      <w:rFonts w:ascii="宋体" w:hAnsi="Courier New" w:cs="Courier New"/>
      <w:szCs w:val="21"/>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FollowedHyperlink"/>
    <w:basedOn w:val="9"/>
    <w:qFormat/>
    <w:uiPriority w:val="0"/>
    <w:rPr>
      <w:color w:val="333333"/>
      <w:u w:val="none"/>
    </w:rPr>
  </w:style>
  <w:style w:type="character" w:styleId="11">
    <w:name w:val="Emphasis"/>
    <w:basedOn w:val="9"/>
    <w:qFormat/>
    <w:uiPriority w:val="0"/>
  </w:style>
  <w:style w:type="character" w:styleId="12">
    <w:name w:val="Hyperlink"/>
    <w:basedOn w:val="9"/>
    <w:qFormat/>
    <w:uiPriority w:val="0"/>
    <w:rPr>
      <w:color w:val="333333"/>
      <w:u w:val="none"/>
    </w:rPr>
  </w:style>
  <w:style w:type="character" w:customStyle="1" w:styleId="13">
    <w:name w:val="last"/>
    <w:basedOn w:val="9"/>
    <w:qFormat/>
    <w:uiPriority w:val="0"/>
  </w:style>
  <w:style w:type="character" w:customStyle="1" w:styleId="14">
    <w:name w:val="页眉 Char"/>
    <w:basedOn w:val="9"/>
    <w:link w:val="6"/>
    <w:uiPriority w:val="0"/>
    <w:rPr>
      <w:rFonts w:asciiTheme="minorHAnsi" w:hAnsiTheme="minorHAnsi" w:eastAsiaTheme="minorEastAsia" w:cstheme="minorBidi"/>
      <w:kern w:val="2"/>
      <w:sz w:val="18"/>
      <w:szCs w:val="18"/>
    </w:rPr>
  </w:style>
  <w:style w:type="character" w:customStyle="1" w:styleId="15">
    <w:name w:val="页脚 Char"/>
    <w:basedOn w:val="9"/>
    <w:link w:val="5"/>
    <w:uiPriority w:val="0"/>
    <w:rPr>
      <w:rFonts w:asciiTheme="minorHAnsi" w:hAnsiTheme="minorHAnsi" w:eastAsiaTheme="minorEastAsia" w:cstheme="minorBidi"/>
      <w:kern w:val="2"/>
      <w:sz w:val="18"/>
      <w:szCs w:val="18"/>
    </w:rPr>
  </w:style>
  <w:style w:type="paragraph" w:customStyle="1" w:styleId="16">
    <w:name w:val="18"/>
    <w:basedOn w:val="1"/>
    <w:uiPriority w:val="0"/>
    <w:pPr>
      <w:keepNext w:val="0"/>
      <w:keepLines w:val="0"/>
      <w:widowControl w:val="0"/>
      <w:suppressLineNumbers w:val="0"/>
      <w:spacing w:before="0" w:beforeAutospacing="0" w:after="0" w:afterAutospacing="0"/>
      <w:ind w:left="0" w:right="0"/>
      <w:jc w:val="both"/>
    </w:pPr>
    <w:rPr>
      <w:rFonts w:hint="eastAsia" w:ascii="等线" w:hAnsi="等线" w:eastAsia="等线"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2739</Words>
  <Characters>309</Characters>
  <Lines>2</Lines>
  <Paragraphs>6</Paragraphs>
  <TotalTime>9</TotalTime>
  <ScaleCrop>false</ScaleCrop>
  <LinksUpToDate>false</LinksUpToDate>
  <CharactersWithSpaces>3042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2017-11-07T01:31:00Z</dcterms:created>
  <dc:creator>Administrator</dc:creator>
  <cp:lastModifiedBy>Administrator</cp:lastModifiedBy>
  <cp:lastPrinted>2023-09-21T08:42:57Z</cp:lastPrinted>
  <dcterms:modified xsi:type="dcterms:W3CDTF">2023-09-21T08:48:56Z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