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kinsoku/>
        <w:wordWrap/>
        <w:overflowPunct/>
        <w:topLinePunct w:val="0"/>
        <w:autoSpaceDE/>
        <w:autoSpaceDN/>
        <w:bidi w:val="0"/>
        <w:adjustRightInd/>
        <w:snapToGrid/>
        <w:spacing w:line="520" w:lineRule="exact"/>
        <w:ind w:firstLine="720" w:firstLineChars="200"/>
        <w:jc w:val="center"/>
        <w:textAlignment w:val="auto"/>
        <w:rPr>
          <w:rFonts w:hint="default" w:ascii="Times New Roman" w:hAnsi="Times New Roman" w:eastAsia="方正小标宋简体" w:cs="Times New Roman"/>
          <w:b w:val="0"/>
          <w:bCs/>
          <w:sz w:val="36"/>
          <w:szCs w:val="36"/>
          <w:lang w:val="en-US" w:eastAsia="zh-CN"/>
        </w:rPr>
      </w:pPr>
      <w:r>
        <w:rPr>
          <w:rFonts w:hint="default" w:ascii="Times New Roman" w:hAnsi="Times New Roman" w:eastAsia="方正小标宋简体" w:cs="Times New Roman"/>
          <w:b w:val="0"/>
          <w:bCs/>
          <w:sz w:val="36"/>
          <w:szCs w:val="36"/>
        </w:rPr>
        <w:t>20</w:t>
      </w:r>
      <w:r>
        <w:rPr>
          <w:rFonts w:hint="default" w:ascii="Times New Roman" w:hAnsi="Times New Roman" w:eastAsia="方正小标宋简体" w:cs="Times New Roman"/>
          <w:b w:val="0"/>
          <w:bCs/>
          <w:sz w:val="36"/>
          <w:szCs w:val="36"/>
          <w:lang w:val="en-US" w:eastAsia="zh-CN"/>
        </w:rPr>
        <w:t>2</w:t>
      </w:r>
      <w:r>
        <w:rPr>
          <w:rFonts w:hint="eastAsia" w:ascii="Times New Roman" w:hAnsi="Times New Roman" w:eastAsia="方正小标宋简体" w:cs="Times New Roman"/>
          <w:b w:val="0"/>
          <w:bCs/>
          <w:sz w:val="36"/>
          <w:szCs w:val="36"/>
          <w:lang w:val="en-US" w:eastAsia="zh-CN"/>
        </w:rPr>
        <w:t>2</w:t>
      </w:r>
      <w:r>
        <w:rPr>
          <w:rFonts w:hint="default" w:ascii="Times New Roman" w:hAnsi="Times New Roman" w:eastAsia="方正小标宋简体" w:cs="Times New Roman"/>
          <w:b w:val="0"/>
          <w:bCs/>
          <w:sz w:val="36"/>
          <w:szCs w:val="36"/>
        </w:rPr>
        <w:t>年部门整体支出绩效报告</w:t>
      </w:r>
    </w:p>
    <w:p>
      <w:pPr>
        <w:pStyle w:val="5"/>
        <w:keepNext w:val="0"/>
        <w:keepLines w:val="0"/>
        <w:pageBreakBefore w:val="0"/>
        <w:kinsoku/>
        <w:wordWrap/>
        <w:overflowPunct/>
        <w:topLinePunct w:val="0"/>
        <w:autoSpaceDE/>
        <w:autoSpaceDN/>
        <w:bidi w:val="0"/>
        <w:adjustRightInd/>
        <w:snapToGrid/>
        <w:spacing w:line="520" w:lineRule="exact"/>
        <w:ind w:firstLine="2250" w:firstLineChars="750"/>
        <w:textAlignment w:val="auto"/>
        <w:rPr>
          <w:rFonts w:hint="default" w:ascii="Times New Roman" w:hAnsi="Times New Roman" w:cs="Times New Roman"/>
          <w:sz w:val="30"/>
          <w:szCs w:val="30"/>
        </w:rPr>
      </w:pP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一、部门（单位）概况</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Times New Roman"/>
          <w:kern w:val="2"/>
          <w:sz w:val="30"/>
          <w:szCs w:val="30"/>
          <w:lang w:val="en-US" w:eastAsia="zh-CN" w:bidi="ar-SA"/>
        </w:rPr>
      </w:pPr>
      <w:r>
        <w:rPr>
          <w:rFonts w:hint="default" w:ascii="仿宋" w:hAnsi="仿宋" w:eastAsia="仿宋" w:cs="Times New Roman"/>
          <w:kern w:val="2"/>
          <w:sz w:val="30"/>
          <w:szCs w:val="30"/>
          <w:lang w:val="en-US" w:eastAsia="zh-CN" w:bidi="ar-SA"/>
        </w:rPr>
        <w:t>（一）机构组成：县档案馆，加挂县党史和县志研究室牌子，为县委办公室所属正科级公益类事业单位。</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Times New Roman"/>
          <w:kern w:val="2"/>
          <w:sz w:val="30"/>
          <w:szCs w:val="30"/>
          <w:lang w:val="en-US" w:eastAsia="zh-CN" w:bidi="ar-SA"/>
        </w:rPr>
      </w:pPr>
      <w:r>
        <w:rPr>
          <w:rFonts w:hint="default" w:ascii="仿宋" w:hAnsi="仿宋" w:eastAsia="仿宋" w:cs="Times New Roman"/>
          <w:kern w:val="2"/>
          <w:sz w:val="30"/>
          <w:szCs w:val="30"/>
          <w:lang w:val="en-US" w:eastAsia="zh-CN" w:bidi="ar-SA"/>
        </w:rPr>
        <w:t>（二）机构职能：</w:t>
      </w:r>
      <w:r>
        <w:rPr>
          <w:rFonts w:hint="eastAsia" w:ascii="仿宋" w:hAnsi="仿宋" w:eastAsia="仿宋" w:cs="Times New Roman"/>
          <w:kern w:val="2"/>
          <w:sz w:val="30"/>
          <w:szCs w:val="30"/>
          <w:lang w:val="en-US" w:eastAsia="zh-CN" w:bidi="ar-SA"/>
        </w:rPr>
        <w:t>攸县档案馆是主管全县档案、党史、志鉴编研工作的职能部门。</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Times New Roman"/>
          <w:kern w:val="2"/>
          <w:sz w:val="30"/>
          <w:szCs w:val="30"/>
          <w:lang w:val="en-US" w:eastAsia="zh-CN" w:bidi="ar-SA"/>
        </w:rPr>
      </w:pPr>
      <w:r>
        <w:rPr>
          <w:rFonts w:hint="default" w:ascii="仿宋" w:hAnsi="仿宋" w:eastAsia="仿宋" w:cs="Times New Roman"/>
          <w:kern w:val="2"/>
          <w:sz w:val="30"/>
          <w:szCs w:val="30"/>
          <w:lang w:val="en-US" w:eastAsia="zh-CN" w:bidi="ar-SA"/>
        </w:rPr>
        <w:t>（三）人员概况：</w:t>
      </w:r>
      <w:r>
        <w:rPr>
          <w:rFonts w:hint="eastAsia" w:ascii="仿宋" w:hAnsi="仿宋" w:eastAsia="仿宋" w:cs="Times New Roman"/>
          <w:kern w:val="2"/>
          <w:sz w:val="30"/>
          <w:szCs w:val="30"/>
          <w:lang w:val="en-US" w:eastAsia="zh-CN" w:bidi="ar-SA"/>
        </w:rPr>
        <w:t>攸县档案馆现有股室4个，一个二级机构：档案信息中心。在职人员16人，退休9人。</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二、部门财政资金收支情况</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Times New Roman"/>
          <w:kern w:val="2"/>
          <w:sz w:val="30"/>
          <w:szCs w:val="30"/>
          <w:lang w:val="en-US" w:eastAsia="zh-CN" w:bidi="ar-SA"/>
        </w:rPr>
      </w:pPr>
      <w:r>
        <w:rPr>
          <w:rFonts w:hint="default" w:ascii="仿宋" w:hAnsi="仿宋" w:eastAsia="仿宋" w:cs="Times New Roman"/>
          <w:kern w:val="2"/>
          <w:sz w:val="30"/>
          <w:szCs w:val="30"/>
          <w:lang w:val="en-US" w:eastAsia="zh-CN" w:bidi="ar-SA"/>
        </w:rPr>
        <w:t>（一）收入</w:t>
      </w:r>
      <w:r>
        <w:rPr>
          <w:rFonts w:hint="eastAsia" w:ascii="仿宋" w:hAnsi="仿宋" w:eastAsia="仿宋" w:cs="Times New Roman"/>
          <w:kern w:val="2"/>
          <w:sz w:val="30"/>
          <w:szCs w:val="30"/>
          <w:lang w:val="en-US" w:eastAsia="zh-CN" w:bidi="ar-SA"/>
        </w:rPr>
        <w:t>预算415.33</w:t>
      </w:r>
      <w:r>
        <w:rPr>
          <w:rFonts w:hint="default" w:ascii="仿宋" w:hAnsi="仿宋" w:eastAsia="仿宋" w:cs="Times New Roman"/>
          <w:kern w:val="2"/>
          <w:sz w:val="30"/>
          <w:szCs w:val="30"/>
          <w:lang w:val="en-US" w:eastAsia="zh-CN" w:bidi="ar-SA"/>
        </w:rPr>
        <w:t>万元</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（二）</w:t>
      </w:r>
      <w:r>
        <w:rPr>
          <w:rFonts w:hint="default" w:ascii="仿宋" w:hAnsi="仿宋" w:eastAsia="仿宋" w:cs="Times New Roman"/>
          <w:kern w:val="2"/>
          <w:sz w:val="30"/>
          <w:szCs w:val="30"/>
          <w:lang w:val="en-US" w:eastAsia="zh-CN" w:bidi="ar-SA"/>
        </w:rPr>
        <w:t>支出</w:t>
      </w:r>
      <w:r>
        <w:rPr>
          <w:rFonts w:hint="eastAsia" w:ascii="仿宋" w:hAnsi="仿宋" w:eastAsia="仿宋" w:cs="Times New Roman"/>
          <w:kern w:val="2"/>
          <w:sz w:val="30"/>
          <w:szCs w:val="30"/>
          <w:lang w:val="en-US" w:eastAsia="zh-CN" w:bidi="ar-SA"/>
        </w:rPr>
        <w:t>预算415.33</w:t>
      </w:r>
      <w:r>
        <w:rPr>
          <w:rFonts w:hint="default" w:ascii="仿宋" w:hAnsi="仿宋" w:eastAsia="仿宋" w:cs="Times New Roman"/>
          <w:kern w:val="2"/>
          <w:sz w:val="30"/>
          <w:szCs w:val="30"/>
          <w:lang w:val="en-US" w:eastAsia="zh-CN" w:bidi="ar-SA"/>
        </w:rPr>
        <w:t>万元</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三、部门财政支出管理情况</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1、预算执行。预算完成率99.7%，年初预算收支415.33万元，实际收支为415.33万元。收支均未超，实现了年度收支平衡。</w:t>
      </w:r>
      <w:bookmarkStart w:id="0" w:name="_GoBack"/>
      <w:bookmarkEnd w:id="0"/>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2、预算管理。（1）控制日常公用经费开支，主要用于办公电脑及耗材、办公室日常用品、设备维修及保养等开支。（2）“三公”经费控制率100%。（3）管理制度健全，按照县财政有关文件，我们制定了财务管理制度和会计核算等管理制度，严格按照制度执行。（4）预决算信息公开性，按照规定的内容、时间在政府网站公开预决算信息，做到基础数据信息和会计资料真实、完整、准确。</w:t>
      </w:r>
    </w:p>
    <w:p>
      <w:pPr>
        <w:pStyle w:val="6"/>
        <w:keepNext w:val="0"/>
        <w:keepLines w:val="0"/>
        <w:pageBreakBefore w:val="0"/>
        <w:kinsoku/>
        <w:wordWrap/>
        <w:overflowPunct/>
        <w:topLinePunct w:val="0"/>
        <w:bidi w:val="0"/>
        <w:snapToGrid w:val="0"/>
        <w:spacing w:line="560" w:lineRule="exact"/>
        <w:ind w:firstLine="600" w:firstLineChars="200"/>
        <w:textAlignment w:val="auto"/>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3、职责履行。（1）聚焦主业主责抓落实。全年共接收20个单位档案共计52441件，全年完成档案数字化72万余页。着力推进史志项目编研，编纂出版发行党史书籍。协助举办了谭震林同志诞辰120周年纪念活动，参与北伐首战纪念场馆建设。成功申报湖南省和株洲市党史教育基地，申报莲花一支枪保护地、谭余保误绑陈毅遗址、攸县中华苏维埃政府旧址（凤塔）为株洲市红色革命遗址并树标立识。（2）着力基层基础抓规范。编印《档案史志业务指导手册》800册发放到各单位，指导开展档案收集整理和年鉴编写。对22个单位进行业务指导。协助县档案局对17个乡镇（街道）、43个县直单位档案工作开展了检查督查。对6个单位遗留档案，积压的县委办、政府办、组织部、市场监督管理局4个部门若干年度文书资料进行了清查整理，共整理文书档案5907件。围绕“喜迎二十大·档案颂辉煌”活动主题开展系列活动。全年来共接待到馆查询利用者1032人次，提供利用档案资料12448卷。（3）强化作风能力抓提升。3至11月份共预安工作295项，所有工作完成销号。建立“一月一课题”学习制度，先后开展档案、党史、志鉴、保密等业务学习交流活动。派出一名经验丰富的工作人员担任桃水镇夏泉村第一书记参与乡村振兴工作。10-11月派出120余人次参与桃水镇夏泉村和湾田村森林防灭火、疫情防控、信访维稳、安全生产“四项”重点工作。积极参与百花社区、高岭社区财兴大厦小区的疫情摸排，开展“敲门”行动，并做好联防联控工作。</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四、评价结论及建议</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一）评价结论：综合以上各项指标，财务管理健全规范，没有发生违法违规现象，本年度的部门整体支出绩效自我评价得到100分，自评结果：优秀。我们将在以后的工作中加强预算管理，严格控制各项经费的开支，提高经费的使用效率。</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（二）存在问题：</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全县档案工作发展不平衡，垂直部门档案基础较好，档案意识强，乡镇档案基础较差一些。党史宣传教育经费预算不足，档案信息化未很好的开展。</w:t>
      </w:r>
    </w:p>
    <w:p>
      <w:pPr>
        <w:pStyle w:val="5"/>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（三）改进建议：进一步完善财务制度，规范财经纪律，严格控制非生产性开支，进一步提高公务卡结算比率。充实财务人员，加强财务人员培训，不断提高财务人员素质。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ì.">
    <w:altName w:val="宋体"/>
    <w:panose1 w:val="00000000000000000000"/>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mMjc0ODdmY2Q3MzRhNTk2MDdlZmI3Mjg0ODIwYjMifQ=="/>
  </w:docVars>
  <w:rsids>
    <w:rsidRoot w:val="15B30A00"/>
    <w:rsid w:val="15B30A00"/>
    <w:rsid w:val="1CC14E3C"/>
    <w:rsid w:val="2590741F"/>
    <w:rsid w:val="301B24AC"/>
    <w:rsid w:val="35D63B49"/>
    <w:rsid w:val="366D71F8"/>
    <w:rsid w:val="3DA55EB4"/>
    <w:rsid w:val="3DBC0DC4"/>
    <w:rsid w:val="4715632A"/>
    <w:rsid w:val="5096175B"/>
    <w:rsid w:val="5AA1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0" w:line="400" w:lineRule="atLeast"/>
    </w:pPr>
    <w:rPr>
      <w:rFonts w:ascii="楷体_GB2312" w:eastAsia="楷体_GB2312"/>
      <w:sz w:val="24"/>
      <w:szCs w:val="24"/>
    </w:rPr>
  </w:style>
  <w:style w:type="paragraph" w:styleId="3">
    <w:name w:val="Body Text"/>
    <w:basedOn w:val="1"/>
    <w:next w:val="4"/>
    <w:semiHidden/>
    <w:unhideWhenUsed/>
    <w:qFormat/>
    <w:uiPriority w:val="99"/>
    <w:pPr>
      <w:spacing w:after="120"/>
    </w:pPr>
  </w:style>
  <w:style w:type="paragraph" w:customStyle="1" w:styleId="4">
    <w:name w:val="正文首行缩进1"/>
    <w:basedOn w:val="1"/>
    <w:qFormat/>
    <w:uiPriority w:val="0"/>
    <w:pPr>
      <w:spacing w:after="120" w:afterLines="0"/>
      <w:ind w:firstLine="100" w:firstLineChars="100"/>
    </w:pPr>
    <w:rPr>
      <w:rFonts w:ascii="Times New Roman" w:hAnsi="Times New Roman"/>
    </w:rPr>
  </w:style>
  <w:style w:type="paragraph" w:styleId="5">
    <w:name w:val="Plain Text"/>
    <w:basedOn w:val="1"/>
    <w:qFormat/>
    <w:uiPriority w:val="0"/>
    <w:rPr>
      <w:rFonts w:ascii="宋体" w:hAnsi="Courier New" w:cs="Courier New"/>
      <w:szCs w:val="21"/>
    </w:rPr>
  </w:style>
  <w:style w:type="paragraph" w:styleId="6">
    <w:name w:val="toc 1"/>
    <w:basedOn w:val="1"/>
    <w:next w:val="1"/>
    <w:qFormat/>
    <w:uiPriority w:val="0"/>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0">
    <w:name w:val="Default"/>
    <w:unhideWhenUsed/>
    <w:qFormat/>
    <w:uiPriority w:val="99"/>
    <w:pPr>
      <w:widowControl w:val="0"/>
      <w:autoSpaceDE w:val="0"/>
      <w:autoSpaceDN w:val="0"/>
      <w:adjustRightInd w:val="0"/>
    </w:pPr>
    <w:rPr>
      <w:rFonts w:hint="eastAsia" w:ascii="..ì." w:hAnsi="..ì." w:eastAsia="..ì." w:cs="黑体"/>
      <w:color w:val="00000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cp:lastPrinted>2021-01-13T02:30:00Z</cp:lastPrinted>
  <dcterms:modified xsi:type="dcterms:W3CDTF">2023-10-10T00:51:59Z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6439FB1F3CBC466A8573CC9618F7840D_12</vt:lpwstr>
  </property>
</Properties>
</file>