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攸县教育局</w:t>
      </w:r>
    </w:p>
    <w:p>
      <w:pPr>
        <w:pStyle w:val="2"/>
        <w:adjustRightInd w:val="0"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年财政整体支出绩效报告</w:t>
      </w:r>
    </w:p>
    <w:p>
      <w:pPr>
        <w:pStyle w:val="2"/>
        <w:spacing w:line="600" w:lineRule="exact"/>
        <w:ind w:firstLine="480" w:firstLineChars="200"/>
        <w:jc w:val="left"/>
        <w:rPr>
          <w:rFonts w:hAnsi="宋体" w:cs="宋体"/>
          <w:b/>
          <w:sz w:val="24"/>
          <w:szCs w:val="24"/>
        </w:rPr>
      </w:pPr>
    </w:p>
    <w:p>
      <w:pPr>
        <w:spacing w:line="6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一、执行管理情况</w:t>
      </w:r>
    </w:p>
    <w:p>
      <w:pPr>
        <w:spacing w:line="600" w:lineRule="exact"/>
        <w:ind w:firstLine="640" w:firstLineChars="200"/>
        <w:jc w:val="left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1、基本支出控制方面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为加强财务管理，充分发挥大兴勤俭节约之风，提高财政资金使用效益，本单位分别制定了《机关内部控制基本制度》、《机关财务管理制度》等，对资产管理、财务报销程序及权限、政府采购管理、建设项目管理等方面做出了明确规定，形成了比较完善系统的内部管理控制体系，并基本得到有效执行。各项资金由县财政局支付中心集中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监督</w:t>
      </w:r>
      <w:r>
        <w:rPr>
          <w:rFonts w:hint="eastAsia" w:ascii="仿宋" w:hAnsi="仿宋" w:eastAsia="仿宋" w:cs="仿宋"/>
          <w:kern w:val="0"/>
          <w:sz w:val="32"/>
          <w:szCs w:val="32"/>
        </w:rPr>
        <w:t>支付，严格执行公务卡消费报账制度。基本做到了支出分项归类，核算清晰完整，账务处理及时规范。</w:t>
      </w:r>
    </w:p>
    <w:p>
      <w:pPr>
        <w:spacing w:line="600" w:lineRule="exact"/>
        <w:ind w:firstLine="640" w:firstLineChars="200"/>
        <w:jc w:val="left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2、项目支出控制方面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本单位项目资金实现专款专用，在专用设备购置过程中，严格执行招投标及政府采购程序。</w:t>
      </w:r>
    </w:p>
    <w:p>
      <w:pPr>
        <w:spacing w:line="600" w:lineRule="exact"/>
        <w:ind w:firstLine="640" w:firstLineChars="200"/>
        <w:jc w:val="left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3、三公经费控制方面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本单位在各项制度中明确规定公务接待实施程序、陪餐人数控制、用餐标准、公务车辆用车程序、各项费用报销程序等，并得到了有效执行。</w:t>
      </w:r>
    </w:p>
    <w:p>
      <w:pPr>
        <w:spacing w:line="6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二、综合管理情况</w:t>
      </w:r>
    </w:p>
    <w:p>
      <w:pPr>
        <w:spacing w:line="600" w:lineRule="exact"/>
        <w:ind w:firstLine="640" w:firstLineChars="20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>年部门整体实际支出较预算持平，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各类</w:t>
      </w:r>
      <w:r>
        <w:rPr>
          <w:rFonts w:hint="eastAsia" w:ascii="仿宋" w:hAnsi="仿宋" w:eastAsia="仿宋" w:cs="仿宋"/>
          <w:kern w:val="0"/>
          <w:sz w:val="32"/>
          <w:szCs w:val="32"/>
        </w:rPr>
        <w:t>经费实际支出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较上年减少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326.64万元。</w:t>
      </w:r>
    </w:p>
    <w:p>
      <w:pPr>
        <w:spacing w:line="6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三、整体绩效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>年我局共支出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2439.38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万元，其中包括在职人员工资、保险、离休人员养老金、公用支出、各类考试支出、校园网络建设、教师培训等各项支出、确保了各项教育工作顺利进行。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进一步促进义务教育均衡发展，义务教育阶段入学率为100%，确保教育公平。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不断提高教育质量，促进了全县各级各类教育事业协调均衡发展，教育质量继续保持全省领先。</w:t>
      </w:r>
    </w:p>
    <w:p>
      <w:pPr>
        <w:spacing w:line="6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四、评价结论及建议</w:t>
      </w:r>
    </w:p>
    <w:p>
      <w:pPr>
        <w:spacing w:line="600" w:lineRule="exact"/>
        <w:ind w:firstLine="640" w:firstLineChars="200"/>
        <w:jc w:val="left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（一）评价结论：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我局接到财政局通知后，成立了评价小组，结合项目实际情况制定了绩效评价方案。评价实施过程中根据拟定方案，经过收集资料、综合分析等程序后，形成本绩效自评报告，经综合评价结果为“良”。</w:t>
      </w:r>
    </w:p>
    <w:p>
      <w:pPr>
        <w:spacing w:line="600" w:lineRule="exact"/>
        <w:ind w:firstLine="640" w:firstLineChars="200"/>
        <w:jc w:val="left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（二）存在问题：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1、预算执行存在偏差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在预算执行中造成有些预算项目有调剂现象。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2、固定资产管理水平有待提高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固定资产台账未及时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更新</w:t>
      </w:r>
      <w:r>
        <w:rPr>
          <w:rFonts w:hint="eastAsia" w:ascii="仿宋" w:hAnsi="仿宋" w:eastAsia="仿宋" w:cs="仿宋"/>
          <w:kern w:val="0"/>
          <w:sz w:val="32"/>
          <w:szCs w:val="32"/>
        </w:rPr>
        <w:t>，且未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对</w:t>
      </w:r>
      <w:r>
        <w:rPr>
          <w:rFonts w:hint="eastAsia" w:ascii="仿宋" w:hAnsi="仿宋" w:eastAsia="仿宋" w:cs="仿宋"/>
          <w:kern w:val="0"/>
          <w:sz w:val="32"/>
          <w:szCs w:val="32"/>
        </w:rPr>
        <w:t>实物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及时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</w:rPr>
        <w:t>进行清点，固定资产管理有待加强。</w:t>
      </w:r>
    </w:p>
    <w:p>
      <w:pPr>
        <w:spacing w:line="600" w:lineRule="exact"/>
        <w:ind w:firstLine="640" w:firstLineChars="200"/>
        <w:jc w:val="left"/>
        <w:rPr>
          <w:rFonts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 xml:space="preserve">（三）改进建议： 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1、规范账务处理，提高财务信息质量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严格按照《会计法》、《行政单位会计制度》、《行政单位财务规则》等规定执行财务核算，并结合实际情况，完整、准确地披露相关信息，尽可能地做到决算与预算相衔接。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2、完善管理制度，进一步加强资产管理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进一步贯彻落实中央“八项规定”和湖南省委“九条规定”，建立本部门“三公经费”等公务支出管理制度及厉行节约制度，加强经费审批和控制，规范支出标准与范围，并严格执行。严格按照《固定资产管理办法》的规定加强固定资产管理，及时登记、更新台账，加强资产卡片管理，年终前对各类实物资产进行全面盘点，确保账账、账实相符。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3、加强新行政单位会计制度和新预算法学习培训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加强新《预算法》、《行政单位会计制度》等学习培训，规范部门预决算收支核算，一是制定和完善基本支出、项目支出等各项支出标准，严格按项目和进度执行预决算，增强预决算的约束力和严肃性。二是落实预算执行分析，及时了解预决算执行差异 ，合理调整、纠正预决算执行偏差，切实提高部门预决算收支管理水平。</w:t>
      </w:r>
    </w:p>
    <w:p>
      <w:pPr>
        <w:pStyle w:val="2"/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hakuyoxingshu7000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62C0"/>
    <w:rsid w:val="000E0D52"/>
    <w:rsid w:val="00120FD8"/>
    <w:rsid w:val="007A02F7"/>
    <w:rsid w:val="00842DDA"/>
    <w:rsid w:val="00AB62C0"/>
    <w:rsid w:val="00AE1332"/>
    <w:rsid w:val="00B61F51"/>
    <w:rsid w:val="00BB3780"/>
    <w:rsid w:val="00E00DE6"/>
    <w:rsid w:val="2013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uiPriority w:val="99"/>
    <w:rPr>
      <w:rFonts w:ascii="宋体" w:hAnsi="Courier New" w:cs="Courier New"/>
      <w:szCs w:val="21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189</Words>
  <Characters>1078</Characters>
  <Lines>8</Lines>
  <Paragraphs>2</Paragraphs>
  <TotalTime>23</TotalTime>
  <ScaleCrop>false</ScaleCrop>
  <LinksUpToDate>false</LinksUpToDate>
  <CharactersWithSpaces>1265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2022-10-18T01:31:00Z</dcterms:created>
  <dc:creator>Microsoft</dc:creator>
  <cp:lastModifiedBy>Administrator</cp:lastModifiedBy>
  <cp:lastPrinted>2023-09-26T07:30:02Z</cp:lastPrinted>
  <dcterms:modified xsi:type="dcterms:W3CDTF">2023-09-26T07:43:32Z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