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株洲市石峰区铜塘湾街道办事处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资金总额：953.74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953.74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1：开展社会管理工作，包括安全生产、信息维稳、城乡同建同治、社会管理综合治理、计划生育工作等；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2：开展服务民生工作，关注民情、服务民生、精准扶贫，关心帮扶弱势群体，切实做好扶贫、社会保障、民生重点工作；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3：积极推进棚改、集体土地征拆等重点工程项目建设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  <w:t>加快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建设清水塘新城作出贡献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铜办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年党建、妇联、计生、武装、综治维稳、团委等各项工作。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做好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年危树砍伐、市政维护等各项应急事件。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社会事务办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解决居民最关心、最直接、最现实的各类民生问题，惠及民生，和谐社会。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社会事务办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更好服务社区,增强社区居民幸福指数,发挥好社区组织枢纽和配置作用,上通下达。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提高全民精神文明素质，共同做好环保事业、创新精神文明建设、为子孙后代造福。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辖区内人口数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保障正常运转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提高居民幸福指数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创建和谐社会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可持续影响较强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群众满意度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梁晓蓉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28316358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792"/>
        <w:gridCol w:w="1431"/>
        <w:gridCol w:w="2305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512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附表2</w:t>
            </w:r>
          </w:p>
        </w:tc>
        <w:tc>
          <w:tcPr>
            <w:tcW w:w="143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2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31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 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327.88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抓发展必须</w:t>
            </w:r>
            <w:r>
              <w:rPr>
                <w:rFonts w:hint="eastAsia"/>
                <w:sz w:val="18"/>
                <w:szCs w:val="18"/>
                <w:lang w:eastAsia="zh-CN"/>
              </w:rPr>
              <w:t>抓</w:t>
            </w:r>
            <w:r>
              <w:rPr>
                <w:rFonts w:hint="eastAsia"/>
                <w:sz w:val="18"/>
                <w:szCs w:val="18"/>
              </w:rPr>
              <w:t>环境，抓环境就是抓发展，加强城市管理，改善城市环境，优化城市功能，实施城市品牌战略。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创建廉洁高效的政务环境、公正公平的法治环境、规范全国文明城市，守信的市场环境、健康向上的人文环境、安居乐业的生活环境、可持续发展的生态环境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20"/>
                <w:szCs w:val="22"/>
              </w:rPr>
              <w:t>业务性专项资金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圆满完成各项工作，经济</w:t>
            </w:r>
            <w:r>
              <w:rPr>
                <w:rFonts w:hint="eastAsia"/>
                <w:sz w:val="18"/>
                <w:szCs w:val="18"/>
                <w:lang w:eastAsia="zh-CN"/>
              </w:rPr>
              <w:t>水平</w:t>
            </w:r>
            <w:r>
              <w:rPr>
                <w:rFonts w:hint="eastAsia"/>
                <w:sz w:val="18"/>
                <w:szCs w:val="18"/>
              </w:rPr>
              <w:t>稳定上升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提高居民幸福指数，创建和谐社会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20"/>
                <w:szCs w:val="22"/>
              </w:rPr>
              <w:t>社区经费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272.28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cs="Calibr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稳定社区工作人员队伍，提高社区服务水平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更好服务社区，增强社区居民幸福指数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20"/>
                <w:szCs w:val="22"/>
              </w:rPr>
              <w:t>微民生网格事件办理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cs="Calibr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周边环境卫生整治、小区卫生宣传工作、危树砍伐、下水道疏通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危树砍伐、下水道疏通，整顿城市卫生，保护城市环境，维护社会和谐稳定。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四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三支一扶人员经费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  <w:t>确保三支一扶人员工作顺利开展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  <w:t>确保三支一扶人员生活补贴按时发放，工作顺利完成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28316358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2059"/>
        <w:gridCol w:w="1650"/>
        <w:gridCol w:w="573"/>
        <w:gridCol w:w="559"/>
        <w:gridCol w:w="660"/>
        <w:gridCol w:w="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附表3-1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669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017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支出方向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（子项）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专项经费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1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.1.1-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圆满完成各项工作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提高居民幸福指数，创建和谐社会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党建、妇联、卫健、武装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下拨经费符合相关政策规定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年年底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党建、妇联、卫健和武装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社会和谐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党建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18"/>
                <w:szCs w:val="18"/>
                <w:lang w:val="en-US" w:eastAsia="zh-CN" w:bidi="ar-SA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基层党组织建设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宣传费0.6万元/次，宣传1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次。1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次*0.6（万元/次）=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学习培训0.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万元/次，学习培训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次*0.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（万元/次）=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万元退休支部建设0.9万元/次，退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休支部建设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次*0.9（万元/次）=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妇联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cs="Calibr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维护妇女儿童合法权益</w:t>
            </w:r>
            <w:r>
              <w:rPr>
                <w:rFonts w:hint="eastAsia"/>
                <w:sz w:val="18"/>
                <w:szCs w:val="18"/>
                <w:lang w:eastAsia="zh-CN"/>
              </w:rPr>
              <w:t>费用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宣传费0.2万元一次，宣传5次。5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（万元/次）=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；其他相关维护妇女儿童权益费用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卫健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cs="Calibri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卫健相关费用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无偿献血0.03万元/人，要求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人*0.03（万元/人）=5.46万元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武装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武装工作宣传费等相关费用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宣传费0.6万元/次，宣传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次*（万元/次）=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3.6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；民办训练点验费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0.44万元/次，训练10次，10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次*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0.44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（万元/次）=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4.4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8490" w:type="dxa"/>
            <w:gridSpan w:val="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28316358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8490" w:type="dxa"/>
            <w:gridSpan w:val="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90" w:tblpY="97"/>
        <w:tblOverlap w:val="never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566"/>
        <w:gridCol w:w="2045"/>
        <w:gridCol w:w="240"/>
        <w:gridCol w:w="1097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附表3-2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660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115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支出方向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（子项）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各社区、村应急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事件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微民生网格事件办理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.1.1-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开展民生工作，维护社会稳定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有效预防突发事件，突发事件后及时处置，保障公民的生命和财产安全，维护社会稳定。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铜办辖区内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下拨经费符合相关政策规定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年年底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人工费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300元/天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拖车费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300元/车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垃圾清运费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600元/车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保障突发公共事件发生后及时处置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辖区内生态环境得到优化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群众满意度90%以上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危树砍伐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危树砍伐人工费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危树砍伐人工费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万元/次，危树砍伐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次*0.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危树拖运费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危树拖运费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万元/次，托运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次。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次*0.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（万元/次）=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下水道清淤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下水道清淤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下水道清淤0.25万元/次，清淤20次。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20次*0.25（万元/次）=5万元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</w:tbl>
    <w:tbl>
      <w:tblPr>
        <w:tblStyle w:val="2"/>
        <w:tblpPr w:leftFromText="180" w:rightFromText="180" w:vertAnchor="text" w:horzAnchor="page" w:tblpX="1817" w:tblpY="152"/>
        <w:tblOverlap w:val="never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849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28316358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06"/>
        <w:gridCol w:w="1506"/>
        <w:gridCol w:w="1780"/>
        <w:gridCol w:w="305"/>
        <w:gridCol w:w="1073"/>
        <w:gridCol w:w="1028"/>
        <w:gridCol w:w="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附表3-3</w:t>
            </w:r>
          </w:p>
        </w:tc>
        <w:tc>
          <w:tcPr>
            <w:tcW w:w="110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3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84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631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支出方向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基层政权和社区建设支出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社区经费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272.28</w:t>
            </w: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.1.1-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开展民生工作，创造和谐的生活环竟和帮助弱势群体。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使社区更好的服务人民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,增强社区居民幸福指数,发挥好社区组织枢纽和配置作用。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个社区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下拨经费符合相关政策规定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年年底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817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272.28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万元/年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社区人员报酬不断提高,工作环境不断改善,确保社区队伍稳定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群众满意度90%以上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支出明细及测算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说明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人员经费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各社区人员经费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233.28</w:t>
            </w:r>
          </w:p>
        </w:tc>
        <w:tc>
          <w:tcPr>
            <w:tcW w:w="2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湘人发{2006}134号、135号，全年金额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233.28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社区运转经费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8个社区运转经费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个社区*5（万元/年）=3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湘河社区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万元/年，共计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272.28</w:t>
            </w:r>
          </w:p>
        </w:tc>
        <w:tc>
          <w:tcPr>
            <w:tcW w:w="2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8490" w:type="dxa"/>
            <w:gridSpan w:val="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填表人：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28316358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514"/>
        <w:gridCol w:w="1472"/>
        <w:gridCol w:w="414"/>
        <w:gridCol w:w="1073"/>
        <w:gridCol w:w="1028"/>
        <w:gridCol w:w="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3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74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三支一扶人员经费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三支一扶人员经费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4.6</w:t>
            </w: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.1.1-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确保三支一扶人员生活补贴按时发放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eastAsia="zh-CN"/>
              </w:rPr>
              <w:t>按时发放三支一扶人员生活补贴，工作顺利完成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两名三支一扶人员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拨付完成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保证人员工资每月按时发放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每月按时发放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按月按时发放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每月按时发放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三支一扶人员补助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4.6万元/年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确保三支一扶人员生活水平不断提高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不断提高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可持续影响程度较强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Ansi="Tahoma" w:cs="Tahoma" w:asciiTheme="minorEastAsia"/>
                <w:color w:val="000000"/>
                <w:sz w:val="18"/>
                <w:szCs w:val="18"/>
              </w:rPr>
              <w:t>˃</w:t>
            </w:r>
            <w:r>
              <w:rPr>
                <w:rFonts w:hint="eastAsia" w:cs="Arial" w:asciiTheme="minorEastAsia" w:hAnsiTheme="minorEastAsia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2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人员工资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人均年工资待遇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4.6万</w:t>
            </w:r>
          </w:p>
        </w:tc>
        <w:tc>
          <w:tcPr>
            <w:tcW w:w="2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湘人发{2006}134号、135号，4.6万元/年/人，三支一扶人员为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2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5" w:type="dxa"/>
          <w:trHeight w:val="540" w:hRule="atLeast"/>
        </w:trPr>
        <w:tc>
          <w:tcPr>
            <w:tcW w:w="8490" w:type="dxa"/>
            <w:gridSpan w:val="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28316358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1DA4739"/>
    <w:rsid w:val="037566AD"/>
    <w:rsid w:val="04152867"/>
    <w:rsid w:val="04544A4E"/>
    <w:rsid w:val="04875054"/>
    <w:rsid w:val="060B222F"/>
    <w:rsid w:val="0A011F5A"/>
    <w:rsid w:val="0A6F29BA"/>
    <w:rsid w:val="0B607388"/>
    <w:rsid w:val="0D5C17F4"/>
    <w:rsid w:val="0D6506DF"/>
    <w:rsid w:val="0DDB3244"/>
    <w:rsid w:val="0F674A39"/>
    <w:rsid w:val="0F7571BB"/>
    <w:rsid w:val="10614D9B"/>
    <w:rsid w:val="11064CAE"/>
    <w:rsid w:val="11560570"/>
    <w:rsid w:val="124B479E"/>
    <w:rsid w:val="12F471A1"/>
    <w:rsid w:val="1355621D"/>
    <w:rsid w:val="14BE27FA"/>
    <w:rsid w:val="14DA31B6"/>
    <w:rsid w:val="166A407B"/>
    <w:rsid w:val="169B111D"/>
    <w:rsid w:val="16ED46E4"/>
    <w:rsid w:val="171920CD"/>
    <w:rsid w:val="176B391F"/>
    <w:rsid w:val="18170EC2"/>
    <w:rsid w:val="181E7796"/>
    <w:rsid w:val="187649BE"/>
    <w:rsid w:val="188B2A63"/>
    <w:rsid w:val="18EF29FC"/>
    <w:rsid w:val="1B2718F8"/>
    <w:rsid w:val="1BF42EDC"/>
    <w:rsid w:val="1CEB3AA0"/>
    <w:rsid w:val="1CFC48DD"/>
    <w:rsid w:val="1E362DB4"/>
    <w:rsid w:val="1E584C82"/>
    <w:rsid w:val="1F6E013A"/>
    <w:rsid w:val="1FC21B82"/>
    <w:rsid w:val="21AD5C13"/>
    <w:rsid w:val="23497378"/>
    <w:rsid w:val="240B5A00"/>
    <w:rsid w:val="24104E0C"/>
    <w:rsid w:val="256A6354"/>
    <w:rsid w:val="27266E69"/>
    <w:rsid w:val="273078C8"/>
    <w:rsid w:val="27E306C4"/>
    <w:rsid w:val="284875CB"/>
    <w:rsid w:val="2A097B3E"/>
    <w:rsid w:val="2A0A32DF"/>
    <w:rsid w:val="2C012709"/>
    <w:rsid w:val="2D063E73"/>
    <w:rsid w:val="2D530D95"/>
    <w:rsid w:val="2FF40F05"/>
    <w:rsid w:val="30101A5D"/>
    <w:rsid w:val="311C763D"/>
    <w:rsid w:val="328C068B"/>
    <w:rsid w:val="33002DCF"/>
    <w:rsid w:val="337F5F75"/>
    <w:rsid w:val="345C4030"/>
    <w:rsid w:val="34741A8A"/>
    <w:rsid w:val="34F063DB"/>
    <w:rsid w:val="35812E63"/>
    <w:rsid w:val="36547960"/>
    <w:rsid w:val="371A56A6"/>
    <w:rsid w:val="37B136F2"/>
    <w:rsid w:val="3D847436"/>
    <w:rsid w:val="3DA33CEE"/>
    <w:rsid w:val="3E4C089B"/>
    <w:rsid w:val="3E6A502D"/>
    <w:rsid w:val="40C41DDD"/>
    <w:rsid w:val="412669CE"/>
    <w:rsid w:val="42F76288"/>
    <w:rsid w:val="432452AB"/>
    <w:rsid w:val="435C5632"/>
    <w:rsid w:val="47237175"/>
    <w:rsid w:val="47F13561"/>
    <w:rsid w:val="47F8560A"/>
    <w:rsid w:val="4A2846AD"/>
    <w:rsid w:val="4AF533CF"/>
    <w:rsid w:val="4AF91147"/>
    <w:rsid w:val="4DD93745"/>
    <w:rsid w:val="540B1856"/>
    <w:rsid w:val="542A6FA2"/>
    <w:rsid w:val="548F48DF"/>
    <w:rsid w:val="54CF6D1E"/>
    <w:rsid w:val="552879BD"/>
    <w:rsid w:val="5776215B"/>
    <w:rsid w:val="57873E96"/>
    <w:rsid w:val="58F53F88"/>
    <w:rsid w:val="594C0F82"/>
    <w:rsid w:val="59F470CB"/>
    <w:rsid w:val="5BFE3FCA"/>
    <w:rsid w:val="5D073736"/>
    <w:rsid w:val="5DB00B79"/>
    <w:rsid w:val="5E1D6B3C"/>
    <w:rsid w:val="5EC05079"/>
    <w:rsid w:val="60402994"/>
    <w:rsid w:val="66E610F2"/>
    <w:rsid w:val="67CC72D2"/>
    <w:rsid w:val="67EE0E89"/>
    <w:rsid w:val="69D91329"/>
    <w:rsid w:val="6C157E7A"/>
    <w:rsid w:val="6DAF49E1"/>
    <w:rsid w:val="6DCA751C"/>
    <w:rsid w:val="6FAC163A"/>
    <w:rsid w:val="70A433AB"/>
    <w:rsid w:val="71526EBD"/>
    <w:rsid w:val="72604A5D"/>
    <w:rsid w:val="727F4840"/>
    <w:rsid w:val="72B752B6"/>
    <w:rsid w:val="72BE3F42"/>
    <w:rsid w:val="75FF25DC"/>
    <w:rsid w:val="76EB2A1B"/>
    <w:rsid w:val="78EA5024"/>
    <w:rsid w:val="7996570D"/>
    <w:rsid w:val="79FD63D7"/>
    <w:rsid w:val="7A5B4AC7"/>
    <w:rsid w:val="7CA750BC"/>
    <w:rsid w:val="7CC91FCC"/>
    <w:rsid w:val="7CF358EE"/>
    <w:rsid w:val="7D193282"/>
    <w:rsid w:val="7DB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3130</Words>
  <Characters>3592</Characters>
  <Lines>0</Lines>
  <Paragraphs>0</Paragraphs>
  <TotalTime>18</TotalTime>
  <ScaleCrop>false</ScaleCrop>
  <LinksUpToDate>false</LinksUpToDate>
  <CharactersWithSpaces>4038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