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37"/>
        <w:gridCol w:w="1488"/>
        <w:gridCol w:w="1470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8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5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株洲市石峰区农业农村局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株洲市石峰区农业农村局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资金总额：1550.98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14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1550.98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392.78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政府性基金拨款</w:t>
            </w:r>
          </w:p>
        </w:tc>
        <w:tc>
          <w:tcPr>
            <w:tcW w:w="14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1158.2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4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统筹研究和组织实施全区农业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水利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畜牧水产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农机等方面的中长期发展规划和年度工作计划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统筹推动发展农村社会事业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农村公共服务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农村文化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农村基础设施和乡村治理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负责农民承包地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农村宅基地改革和管理有关工作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指导乡村特色产业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农产品加工企业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休闲农业发展工作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组织农业龙头企业开展招商引资和对外经济技术合作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负责种植业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畜牧水产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农业机械化等农业各产业的监督管理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负责农产品质量安全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农机安全监督管理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加强农机安全监理执法体系建设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指导农业检验检测体系建设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组织农业资源区划工作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负责农业投资管理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拟定农业科研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教育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技术推广及农业农村人才队伍建设的发展规划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组织实施科教兴农战略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组织协调上级交办的各项扶贫工作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督促落实区扶贫开发领导小组的各项决策部署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负责全区水资源保护工作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负责全区水利工程建设和管理工作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，监督水利工程质量；负责全区水土保持工作；指导农村水利工作；负责落实全区综合防灾减灾规划相关要求，组织编制水干旱灾害防治规划和保护标准并指导实施；完成区委、区政府交办的其他工作。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责任单位/科室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守好粮食安全生产。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农业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确保完成粮食生产目标，坚决扛牢粮食生产的政治责任。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做好资源整合文章。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农业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提升区域竞争力、吸引力，产生叠加效应，拓宽乡村发展增值空间。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丰富农业经济载体。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农业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重点打造一批乡村风貌、乡土文化、农民生活和农业生产等特色乡村体验项目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培育新型经营主体。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农业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努力开创乡村产业兴旺新局面。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夯实水利设施建设。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水利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结合水美乡村计划，对农村水系流域开展系统治理与修复。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数量指标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清响田保护圈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2.2km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水塘清淤修缮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1300余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农村卫生保洁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9个村3个社区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7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经开区河道保洁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50多公里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森林抚育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总面积18411亩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预算资金使用率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工作及时完成率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不超过预算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1550.98</w:t>
            </w: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农民收入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持续增长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居民生活的幸福感、获得感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持续提升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人居环境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持续优化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社会稳定性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持续加强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2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服务农民的满意度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</w:t>
      </w:r>
    </w:p>
    <w:tbl>
      <w:tblPr>
        <w:tblStyle w:val="4"/>
        <w:tblW w:w="8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611"/>
        <w:gridCol w:w="1256"/>
        <w:gridCol w:w="2494"/>
        <w:gridCol w:w="2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31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附表2</w:t>
            </w:r>
          </w:p>
        </w:tc>
        <w:tc>
          <w:tcPr>
            <w:tcW w:w="1256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2023年区级专项资金绩效目标汇总表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587" w:type="dxa"/>
            <w:gridSpan w:val="3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株洲市石峰区农业农村局</w:t>
            </w:r>
          </w:p>
        </w:tc>
        <w:tc>
          <w:tcPr>
            <w:tcW w:w="2494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bottom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计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1158.2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乡村振兴专项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乡村振兴专项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守好粮食安全生产。落实第三次全国土壤普查，开展耕地抛荒、耕地安全利用治理，严格管控区坚决退出水稻生产，改种旱粮等其他农作物。（二）做好资源整合文章。提升区域竞争力、吸引力，产生叠加效应，拓宽乡村发展增值空间。（三）丰富农业经济载体。重点打造一批乡村风貌、乡土文化、农民生活和农业生产等特色乡村体验项目，催生创意农业、田园艺术、研学教育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四）培育新型经营主体。形成丰富活跃的各类经济综合体。大力培育农家乐、民宿经营主体，推进住宿、餐饮、亲子体验、研学等多种配套产业发展。（五）擦亮乡村品牌特色。大力推动乡村旅游业发展，努力开创乡村产业兴旺新局面。 （六）夯实水利设施建设。结合水美乡村计划，对农村水系流域开展系统治理。与修复。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守好粮食安全生产。落实第三次全国土壤普查，开展耕地抛荒、耕地安全利用治理，严格管控区坚决退出水稻生产，改种旱粮等其他农作物。（二）做好资源整合文章。提升区域竞争力、吸引力，产生叠加效应，拓宽乡村发展增值空间。（三）丰富农业经济载体。重点打造一批乡村风貌、乡土文化、农民生活和农业生产等特色乡村体验项目，催生创意农业、田园艺术、研学教育。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四）培育新型经营主体。形成丰富活跃的各类经济综合体。大力培育农家乐、民宿经营主体，推进住宿、餐饮、亲子体验、研学等多种配套产业发展。（五）擦亮乡村品牌特色。大力推动乡村旅游业发展，努力开创乡村产业兴旺新局面。 （六）夯实水利设施建设。结合水美乡村计划，对农村水系流域开展系统治理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林业专项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283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林业专项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283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以林长制田长制为抓手，扎实做好各项工作，实现森林保护责任全覆盖；继续抓好森林防火工作，压实主体责任，严格火源管理，严防火灾发生。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以林长制田长制为抓手，扎实做好各项工作，实现森林保护责任全覆盖；继续抓好森林防火工作，压实主体责任，严格火源管理，严防火灾发生。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三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经开区—农业水利专项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425.2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经开区—农业水利专项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425.2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维持经开区移交的项目正常运转。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维持经开区移交的项目正常运转。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8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90" w:type="dxa"/>
            <w:gridSpan w:val="5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填表人：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联系电话：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</w:p>
        </w:tc>
      </w:tr>
    </w:tbl>
    <w:p>
      <w:r>
        <w:br w:type="page"/>
      </w:r>
    </w:p>
    <w:tbl>
      <w:tblPr>
        <w:tblStyle w:val="4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株洲市石峰区农业农村局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乡村振兴专项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乡村振兴专项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450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2013年全年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守好粮食安全生产。落实第三次全国土壤普查，开展耕地抛荒、耕地安全利用治理，严格管控区坚决退出水稻生产，改种旱粮等其他农作物。（二）做好资源整合文章。提升区域竞争力、吸引力，产生叠加效应，拓宽乡村发展增值空间。（三）丰富农业经济载体。重点打造一批乡村风貌、乡土文化、农民生活和农业生产等特色乡村体验项目，催生创意农业、田园艺术、研学教育。（四）培育新型经营主体。形成丰富活跃的各类经济综合体。大力培育农家乐、民宿经营主体，推进住宿、餐饮、亲子体验、研学等多种配套产业发展。（五）擦亮乡村品牌特色。大力推动乡村旅游业发展，努力开创乡村产业兴旺新局面。 （六）夯实水利设施建设。结合水美乡村计划，对农村水系流域开展系统治理。与修复。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守好粮食安全生产。落实第三次全国土壤普查，开展耕地抛荒、耕地安全利用治理，严格管控区坚决退出水稻生产，改种旱粮等其他农作物。（二）做好资源整合文章。提升区域竞争力、吸引力，产生叠加效应，拓宽乡村发展增值空间。（三）丰富农业经济载体。重点打造一批乡村风貌、乡土文化、农民生活和农业生产等特色乡村体验项目，催生创意农业、田园艺术、研学教育。（四）培育新型经营主体。形成丰富活跃的各类经济综合体。大力培育农家乐、民宿经营主体，推进住宿、餐饮、亲子体验、研学等多种配套产业发展。（五）擦亮乡村品牌特色。大力推动乡村旅游业发展，努力开创乡村产业兴旺新局面。 （六）夯实水利设施建设。结合水美乡村计划，对农村水系流域开展系统治理。与修复。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清响田保护圈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2.2km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水塘清淤修缮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1300余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农村卫生保洁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9个村3个社区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预算资金使用率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工作及时完成率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不超过预算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450</w:t>
            </w: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农民收入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持续增长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居民生活的幸福感、获得感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持续提升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人居环境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持续优化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社会稳定性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持续加强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服务农民的满意度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扶贫专项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对口扶贫泸溪县拨付泸溪县80万，拨付区卫计局8万用于挂职干部的生活补助，慰问湘西扶贫困难学生学习用具1.7万，赴湘西扶贫点住宿费0.3万元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动物防疫经费及病死畜禽无害化处理长效机制建设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无害化处理项目项目每2年进行一次招标，总投资40万元，项目分2年度实施，每年20万。病死畜禽无害化处理委托业务费20万元，动物防疫10万。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市对区考核及合同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农业产业引导资金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培育九郎福柚20万，农民合作社5个*3万=15万元，家庭农场3个*2万元=6万元，种植大户3万元*5户=15万元。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水利建设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防汛、抗旱、小型水利建设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购买防汛物资、对山塘进行维修维护。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区级民生100考核工作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机耕道建设补助费9万，农机合作社扶持资金5个*3万元=15万元、惠民综合服务建设6万元（三社合一）、农产品质量安全5万元、农村土地承包纠纷调解仲裁经费3万元、粮食生产功能区建设经费2万元，乡村振兴衔接资金4万元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农村卫生保洁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11个村，每个每季度4万，全年150万。拨付给8个行政村，3个社区、122条道路保洁费用，建议采用城管考评的形式或者物业管理模式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</w:t>
      </w:r>
    </w:p>
    <w:tbl>
      <w:tblPr>
        <w:tblStyle w:val="4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株洲市石峰区农业农村局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林业专项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林业专项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283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2013年全年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以林长制田长制为抓手，扎实做好各项工作，实现森林保护责任全覆盖；继续抓好森林防火工作，压实主体责任，严格火源管理，严防火灾发生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以林长制田长制为抓手，扎实做好各项工作，实现森林保护责任全覆盖；继续抓好森林防火工作，压实主体责任，严格火源管理，严防火灾发生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森林抚育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总面积18411亩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预算资金使用率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工作及时完成率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不超过预算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283</w:t>
            </w: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农民收入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不断提高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居民生活的幸福感、获得感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持续提升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人居环境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持续优化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社会稳定性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持续加强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6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服务农民的满意度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林业专项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林业有害生物除治、森林防火规划编制及风险普查、生物防火林带建设等项目建设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按合同执行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绿心区域防火网格员专项经费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35名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绿心区域防火网格员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工资、社保、福利费用及相关工作经费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    </w:t>
      </w:r>
    </w:p>
    <w:tbl>
      <w:tblPr>
        <w:tblStyle w:val="4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株洲市石峰区农业农村局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经开区—农业水利专项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经开区—农业水利专项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425.2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425.2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2013年全年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eastAsia="zh-CN"/>
              </w:rPr>
              <w:t>维持经开区移交的项目正常运转。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eastAsia="zh-CN"/>
              </w:rPr>
              <w:t>维持经开区移交的项目正常运转。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经开区河道保洁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50多公里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预算资金使用率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工作及时完成率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不超过预算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425.2</w:t>
            </w: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农民收入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不断提高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居民生活的幸福感、获得感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持续提升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人居环境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持续优化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社会稳定性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持续加强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服务农民的满意度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病死畜禽无害化处理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按合同执行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重大动物疫病防控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专职动物防疫员劳务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社会事业部聘用8名专职动物防疫员，按照2022年预算标准（工资2000元/人/月，计19.2万元；兽医医疗卫生津贴260元/人/月，计2.496万元；年底绩效8000元/人，计6.4万元；养老保险+医疗保险744.09元/人/月，计7.152万元；大病救助160元/人/年，计0.128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物资采购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购动物防疫检测试纸试剂、捕杀器、疫苗保存冰柜等物资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水利河长制专项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2023年水利冬修以奖代补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参照《株洲云龙示范区管理委员会办公室关于印发《株洲经开区、云龙示范区2021-2022年度水利建设工作实施方案》（株云管办函[2022]2号）》文件实施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2023年株洲云龙示范区河道保洁作业项目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按合同执行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乡村振兴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优秀社区书记激励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优秀社区书记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激励分五年为黄正兴购买20万保险，每年购买4万（2021-2025年，此次购买第三年。）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雨露计划计划职业教育补助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监测户子女（3人）每学期补助1500元/人/季，累计3*1500*2=9000元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425.2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NWM4NGNkNjZkMzhmOTMwOGQxZDdmN2IxODY3ZmEifQ=="/>
  </w:docVars>
  <w:rsids>
    <w:rsidRoot w:val="2C012709"/>
    <w:rsid w:val="0082459E"/>
    <w:rsid w:val="00D8393F"/>
    <w:rsid w:val="04152867"/>
    <w:rsid w:val="0A011F5A"/>
    <w:rsid w:val="0A6F29BA"/>
    <w:rsid w:val="0B607388"/>
    <w:rsid w:val="0D2A2AD4"/>
    <w:rsid w:val="0FF76999"/>
    <w:rsid w:val="11560570"/>
    <w:rsid w:val="124B479E"/>
    <w:rsid w:val="127721EC"/>
    <w:rsid w:val="14430060"/>
    <w:rsid w:val="14DA31B6"/>
    <w:rsid w:val="18170EC2"/>
    <w:rsid w:val="198509FA"/>
    <w:rsid w:val="1B2718F8"/>
    <w:rsid w:val="1BF42EDC"/>
    <w:rsid w:val="1CEB3AA0"/>
    <w:rsid w:val="1CFC48DD"/>
    <w:rsid w:val="1FC21B82"/>
    <w:rsid w:val="21AD5C13"/>
    <w:rsid w:val="240B5A00"/>
    <w:rsid w:val="24104E0C"/>
    <w:rsid w:val="256A6354"/>
    <w:rsid w:val="273078C8"/>
    <w:rsid w:val="27E306C4"/>
    <w:rsid w:val="2C012709"/>
    <w:rsid w:val="2D530D95"/>
    <w:rsid w:val="311C763D"/>
    <w:rsid w:val="33002DCF"/>
    <w:rsid w:val="36547960"/>
    <w:rsid w:val="371A56A6"/>
    <w:rsid w:val="37B136F2"/>
    <w:rsid w:val="3DA33CEE"/>
    <w:rsid w:val="42F76288"/>
    <w:rsid w:val="432452AB"/>
    <w:rsid w:val="435C5632"/>
    <w:rsid w:val="47237175"/>
    <w:rsid w:val="47F13561"/>
    <w:rsid w:val="4DD93745"/>
    <w:rsid w:val="540B1856"/>
    <w:rsid w:val="542A6FA2"/>
    <w:rsid w:val="54CF6D1E"/>
    <w:rsid w:val="55974644"/>
    <w:rsid w:val="58B92314"/>
    <w:rsid w:val="5BFE3FCA"/>
    <w:rsid w:val="5D073736"/>
    <w:rsid w:val="5E1D6B3C"/>
    <w:rsid w:val="67EE0E89"/>
    <w:rsid w:val="69D91329"/>
    <w:rsid w:val="6DAF49E1"/>
    <w:rsid w:val="6DCA751C"/>
    <w:rsid w:val="6E2A3104"/>
    <w:rsid w:val="6FAC163A"/>
    <w:rsid w:val="70A433AB"/>
    <w:rsid w:val="71526EBD"/>
    <w:rsid w:val="72BE3F42"/>
    <w:rsid w:val="75FF25DC"/>
    <w:rsid w:val="76FA7B03"/>
    <w:rsid w:val="7996570D"/>
    <w:rsid w:val="7A5B4AC7"/>
    <w:rsid w:val="7CA750BC"/>
    <w:rsid w:val="7CC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cs="仿宋_GB2312"/>
      <w:szCs w:val="32"/>
    </w:rPr>
  </w:style>
  <w:style w:type="paragraph" w:styleId="3">
    <w:name w:val="Body Text Indent"/>
    <w:basedOn w:val="1"/>
    <w:qFormat/>
    <w:uiPriority w:val="0"/>
    <w:pPr>
      <w:ind w:firstLine="660"/>
    </w:pPr>
    <w:rPr>
      <w:rFonts w:ascii="仿宋_GB2312" w:hAnsi="Times New Roman" w:eastAsia="仿宋_GB2312"/>
      <w:b/>
      <w:sz w:val="32"/>
      <w:szCs w:val="20"/>
    </w:rPr>
  </w:style>
  <w:style w:type="character" w:customStyle="1" w:styleId="6">
    <w:name w:val="font01"/>
    <w:basedOn w:val="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8">
    <w:name w:val="BodyText1I2"/>
    <w:basedOn w:val="9"/>
    <w:qFormat/>
    <w:uiPriority w:val="0"/>
    <w:pPr>
      <w:spacing w:line="240" w:lineRule="auto"/>
      <w:ind w:firstLine="420" w:firstLineChars="200"/>
      <w:jc w:val="both"/>
      <w:textAlignment w:val="baseline"/>
    </w:pPr>
  </w:style>
  <w:style w:type="paragraph" w:customStyle="1" w:styleId="9">
    <w:name w:val="BodyTextIndent"/>
    <w:basedOn w:val="1"/>
    <w:qFormat/>
    <w:uiPriority w:val="0"/>
    <w:pPr>
      <w:spacing w:line="240" w:lineRule="auto"/>
      <w:ind w:firstLine="720" w:firstLineChars="200"/>
      <w:jc w:val="both"/>
      <w:textAlignment w:val="baseline"/>
    </w:pPr>
    <w:rPr>
      <w:rFonts w:ascii="Calibri" w:hAnsi="Calibri" w:eastAsia="仿宋_GB2312"/>
      <w:kern w:val="2"/>
      <w:sz w:val="3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4183</Words>
  <Characters>4423</Characters>
  <Lines>0</Lines>
  <Paragraphs>0</Paragraphs>
  <TotalTime>46</TotalTime>
  <ScaleCrop>false</ScaleCrop>
  <LinksUpToDate>false</LinksUpToDate>
  <CharactersWithSpaces>4772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2022-03-09T02:57:00Z</cp:lastPrinted>
  <dcterms:modified xsi:type="dcterms:W3CDTF">2023-11-02T03:02:12Z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7918D9FC77A7463683C4FE5E2EDC34A1</vt:lpwstr>
  </property>
</Properties>
</file>