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0"/>
        <w:gridCol w:w="1225"/>
        <w:gridCol w:w="1448"/>
        <w:gridCol w:w="1403"/>
        <w:gridCol w:w="1430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1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附表1</w:t>
            </w:r>
          </w:p>
        </w:tc>
        <w:tc>
          <w:tcPr>
            <w:tcW w:w="735" w:type="pct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pct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8" w:type="pct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4" w:type="pct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000" w:type="pct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3287" w:type="pct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填报单位：（盖章）石峰区清水塘企业事务中心</w:t>
            </w:r>
          </w:p>
        </w:tc>
        <w:tc>
          <w:tcPr>
            <w:tcW w:w="8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415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石峰区清水塘企业事务中心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15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资金总额：125.61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1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84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125.61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125.61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84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0" w:hRule="atLeast"/>
        </w:trPr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415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ind w:firstLine="320" w:firstLineChars="200"/>
              <w:rPr>
                <w:rFonts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1. 在清水塘核心控规片区建设发展中发挥承上启下、连接各方的中枢作用，对接协调市级主管</w:t>
            </w:r>
          </w:p>
          <w:p>
            <w:pPr>
              <w:overflowPunct w:val="0"/>
              <w:autoSpaceDE w:val="0"/>
              <w:autoSpaceDN w:val="0"/>
              <w:ind w:left="302" w:leftChars="144"/>
              <w:rPr>
                <w:rFonts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单位，联动区内职能部门和属地街道、片区开发平台公司、项目投资主体等相关单位，统筹企业关停搬迁及产业导入、新城开发建设、项目建设运营等日常事务，承接原选矿退管办负责的相关社会化事务；</w:t>
            </w:r>
          </w:p>
          <w:p>
            <w:pPr>
              <w:overflowPunct w:val="0"/>
              <w:autoSpaceDE w:val="0"/>
              <w:autoSpaceDN w:val="0"/>
              <w:ind w:firstLine="320" w:firstLineChars="200"/>
              <w:rPr>
                <w:rFonts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2. 牵头完成清水塘老工业区中小企业关停搬迁扫尾，协同做好片区（核心控规）内企业服务工作；</w:t>
            </w:r>
          </w:p>
          <w:p>
            <w:pPr>
              <w:overflowPunct w:val="0"/>
              <w:autoSpaceDE w:val="0"/>
              <w:autoSpaceDN w:val="0"/>
              <w:ind w:firstLine="320" w:firstLineChars="200"/>
              <w:rPr>
                <w:rFonts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3. 牵头对接清水塘生态科技产业新城规划布局、项目投资、运营发展等相关事务；</w:t>
            </w:r>
          </w:p>
          <w:p>
            <w:pPr>
              <w:ind w:firstLine="320" w:firstLineChars="2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4. 承办区委、区政府交办的其他工作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2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6" w:hRule="atLeast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6"/>
                <w:szCs w:val="16"/>
                <w:lang w:val="en-US" w:eastAsia="zh-CN"/>
              </w:rPr>
              <w:t>持续培育产业 招引品牌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新城产业发展股</w:t>
            </w:r>
          </w:p>
        </w:tc>
        <w:tc>
          <w:tcPr>
            <w:tcW w:w="2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321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联合中交清水塘公司，在上半年策划开展“沪湘联动”产业招商活动，邀请一批上海客商，推介一批株洲（清水塘）资源，签约一批优质项目。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321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放大“南北联动”活动成果，加大与株洲经开区等园区交流力度，加快中车双碳、希玛特、襄阳电机及尚驰电气等4个意向项目落地步伐，力争年内开工3个。</w:t>
            </w:r>
          </w:p>
          <w:p>
            <w:pPr>
              <w:ind w:firstLine="321" w:firstLineChars="200"/>
              <w:jc w:val="both"/>
              <w:rPr>
                <w:rFonts w:hint="eastAsia" w:ascii="宋体" w:hAnsi="宋体" w:eastAsia="仿宋_GB2312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6"/>
                <w:szCs w:val="16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/>
              </w:rPr>
              <w:t>持续开展市场主体培育活动，全年完成600家以上企业注册，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推进“虚实联动”，协同转化“四上”企业4家以上。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9" w:hRule="atLeast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6"/>
                <w:szCs w:val="16"/>
                <w:lang w:val="en-US" w:eastAsia="zh-CN"/>
              </w:rPr>
              <w:t>全力优化园区 项目服务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新城产业发展股</w:t>
            </w:r>
          </w:p>
        </w:tc>
        <w:tc>
          <w:tcPr>
            <w:tcW w:w="2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321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协调做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/>
              </w:rPr>
              <w:t>好清霞路三期交通开放、杆线迁移、污水管网等三一园区配套工作，跟踪做好三一机器人项目过渡厂房租赁、搬迁入驻事宜。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321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6"/>
                <w:szCs w:val="16"/>
                <w:lang w:val="en-US" w:eastAsia="zh-CN"/>
              </w:rPr>
              <w:t>做好中车双碳产业园项目区级事务协调服务，同步做好产业服务中心投用、数智产业园一期交付、恒和工贸总部运营等片区重点项目服务。</w:t>
            </w:r>
          </w:p>
          <w:p>
            <w:pPr>
              <w:spacing w:line="240" w:lineRule="auto"/>
              <w:ind w:firstLine="321" w:firstLineChars="2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16"/>
                <w:szCs w:val="16"/>
                <w:lang w:val="en-US" w:eastAsia="zh-CN" w:bidi="ar-SA"/>
              </w:rPr>
              <w:t>发挥清水塘产业新城便民中心载体作用，加大外出学习交流，开展服务进企业、进项目、进一线等活动。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8" w:hRule="atLeast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16"/>
                <w:szCs w:val="16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6"/>
                <w:szCs w:val="16"/>
                <w:lang w:val="en-US" w:eastAsia="zh-CN"/>
              </w:rPr>
              <w:t>加快完善新城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6"/>
                <w:szCs w:val="16"/>
                <w:lang w:val="en-US" w:eastAsia="zh-CN"/>
              </w:rPr>
              <w:t>公共配套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  <w:p>
            <w:pPr>
              <w:ind w:firstLine="160" w:firstLine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新城产业发展股</w:t>
            </w:r>
          </w:p>
        </w:tc>
        <w:tc>
          <w:tcPr>
            <w:tcW w:w="2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321" w:firstLineChars="20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auto"/>
                <w:sz w:val="16"/>
                <w:szCs w:val="16"/>
                <w:lang w:val="en-US" w:eastAsia="zh-CN"/>
              </w:rPr>
              <w:t>协助做好清水塘片区纳入株洲经开区管理范畴事宜。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321" w:firstLineChars="200"/>
              <w:textAlignment w:val="auto"/>
              <w:rPr>
                <w:rFonts w:hint="eastAsia" w:ascii="仿宋" w:hAnsi="仿宋" w:eastAsia="仿宋" w:cs="仿宋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sz w:val="16"/>
                <w:szCs w:val="16"/>
                <w:lang w:val="en-US" w:eastAsia="zh-CN"/>
              </w:rPr>
              <w:t>明确新城消防站最终选址，加快启动后续建设。</w:t>
            </w:r>
          </w:p>
          <w:p>
            <w:pPr>
              <w:spacing w:line="240" w:lineRule="auto"/>
              <w:ind w:firstLine="321" w:firstLineChars="200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sz w:val="16"/>
                <w:szCs w:val="16"/>
                <w:lang w:val="en-US" w:eastAsia="zh-CN"/>
              </w:rPr>
              <w:t>协调推动片区公交路线优化事宜。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5" w:hRule="atLeast"/>
        </w:trPr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6"/>
                <w:szCs w:val="16"/>
                <w:lang w:val="en-US" w:eastAsia="zh-CN"/>
              </w:rPr>
              <w:t>积极做好遗留 扫尾工作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eastAsia="zh-CN"/>
              </w:rPr>
              <w:t>关停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企业服务股</w:t>
            </w:r>
          </w:p>
        </w:tc>
        <w:tc>
          <w:tcPr>
            <w:tcW w:w="2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firstLine="321" w:firstLineChars="200"/>
              <w:textAlignment w:val="auto"/>
              <w:rPr>
                <w:rFonts w:hint="eastAsia" w:ascii="仿宋" w:hAnsi="仿宋" w:eastAsia="仿宋" w:cs="仿宋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kern w:val="2"/>
                <w:sz w:val="16"/>
                <w:szCs w:val="16"/>
                <w:lang w:val="en-US" w:eastAsia="zh-CN" w:bidi="ar-SA"/>
              </w:rPr>
              <w:t>协调争取省级资金支持，规范做好原选矿离休老干、老工伤、统筹外费用等协调保障工作。</w:t>
            </w:r>
          </w:p>
          <w:p>
            <w:pPr>
              <w:spacing w:line="240" w:lineRule="auto"/>
              <w:ind w:firstLine="320" w:firstLineChars="200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16"/>
                <w:szCs w:val="16"/>
                <w:lang w:val="en-US" w:eastAsia="zh-CN" w:bidi="ar-SA"/>
              </w:rPr>
              <w:t>2.协调清水塘投资集团，加快老工业区已收储中小企业剩余补偿款支付。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73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6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00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5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培育市场主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  <w:t>体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00家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南北联动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”活动项目落地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1279" w:leftChars="152" w:hanging="960" w:hangingChars="600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推进“虚实联动”，协同转化      “四上”企业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20" w:firstLineChars="20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kern w:val="2"/>
                <w:sz w:val="16"/>
                <w:szCs w:val="16"/>
                <w:lang w:val="en-US" w:eastAsia="zh-CN" w:bidi="ar-SA"/>
              </w:rPr>
              <w:t>协调争取省级资金支持，规范做好原选矿离休老干、老工伤、统筹外费用等协调保障工作。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20" w:firstLineChars="20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协调做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/>
              </w:rPr>
              <w:t>好清霞路三期交通开放、杆线迁移、污水管网等三一园区配套工作，跟踪做好三一机器人项目过渡厂房租赁、搬迁入驻事宜。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2023年中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20" w:firstLineChars="20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  <w:lang w:val="en-US" w:eastAsia="zh-CN"/>
              </w:rPr>
              <w:t>协调推动片区公交路线优化事宜。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2023年底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20" w:firstLineChars="20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kern w:val="2"/>
                <w:sz w:val="16"/>
                <w:szCs w:val="16"/>
                <w:lang w:val="en-US" w:eastAsia="zh-CN" w:bidi="ar-SA"/>
              </w:rPr>
              <w:t>协调清水塘投资集团，加快老工业区已收储中小企业剩余补偿款支付。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2023年底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800" w:firstLineChars="500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不超过预算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color w:val="000000"/>
                <w:sz w:val="16"/>
                <w:szCs w:val="16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  <w:t>125.61万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20" w:firstLineChars="20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6"/>
                <w:szCs w:val="16"/>
                <w:lang w:val="en-US" w:eastAsia="zh-CN"/>
              </w:rPr>
              <w:t>做好中车双碳产业园项目区级事务协调服务，同步做好产业服务中心投用、数智产业园一期交付、恒和工贸总部运营重点项目服务。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20" w:firstLineChars="200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推动清水塘新城建设成绩转化为石峰发展成果；保护关停企业职工利益。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新城落户企业及关停企业职工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肖克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13762332932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</w:t>
      </w:r>
    </w:p>
    <w:tbl>
      <w:tblPr>
        <w:tblStyle w:val="5"/>
        <w:tblW w:w="8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65" w:type="dxa"/>
            <w:gridSpan w:val="4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宋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填报单位：（盖章）石峰区清水塘企业事务中心</w:t>
            </w: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A专项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支出方向（子项）1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支出方向（子项）2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B专项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支出方向（子项）1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支出方向（子项）2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C专项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支出方向（子项）1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支出方向（子项）2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8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肖克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13762332932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</w:p>
        </w:tc>
      </w:tr>
    </w:tbl>
    <w:p>
      <w:r>
        <w:br w:type="page"/>
      </w:r>
    </w:p>
    <w:tbl>
      <w:tblPr>
        <w:tblStyle w:val="5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填报单位：（盖章）石峰区清水塘企业事务中心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（子项）1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A专项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填表人：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肖克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13762332932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YzdjNTM0N2UxYzE5YTMxY2JmMjU2MzQ5ODVlNjAifQ=="/>
  </w:docVars>
  <w:rsids>
    <w:rsidRoot w:val="2C012709"/>
    <w:rsid w:val="0082459E"/>
    <w:rsid w:val="00D8393F"/>
    <w:rsid w:val="01272F9B"/>
    <w:rsid w:val="0268782F"/>
    <w:rsid w:val="04152867"/>
    <w:rsid w:val="077974CC"/>
    <w:rsid w:val="081142C9"/>
    <w:rsid w:val="091D6BF9"/>
    <w:rsid w:val="0A011F5A"/>
    <w:rsid w:val="0A6F29BA"/>
    <w:rsid w:val="0B607388"/>
    <w:rsid w:val="0FF76999"/>
    <w:rsid w:val="11560570"/>
    <w:rsid w:val="124B479E"/>
    <w:rsid w:val="14DA31B6"/>
    <w:rsid w:val="157605CC"/>
    <w:rsid w:val="18170EC2"/>
    <w:rsid w:val="19E75873"/>
    <w:rsid w:val="1B2718F8"/>
    <w:rsid w:val="1BF42EDC"/>
    <w:rsid w:val="1CEB3AA0"/>
    <w:rsid w:val="1CFC48DD"/>
    <w:rsid w:val="1FC21B82"/>
    <w:rsid w:val="21AD5C13"/>
    <w:rsid w:val="240B5A00"/>
    <w:rsid w:val="24104E0C"/>
    <w:rsid w:val="256A6354"/>
    <w:rsid w:val="273078C8"/>
    <w:rsid w:val="27E306C4"/>
    <w:rsid w:val="2C012709"/>
    <w:rsid w:val="2D530D95"/>
    <w:rsid w:val="2F9434C4"/>
    <w:rsid w:val="311C763D"/>
    <w:rsid w:val="32A91728"/>
    <w:rsid w:val="33002DCF"/>
    <w:rsid w:val="36547960"/>
    <w:rsid w:val="371A56A6"/>
    <w:rsid w:val="37B136F2"/>
    <w:rsid w:val="3C1C54DF"/>
    <w:rsid w:val="3D7C0982"/>
    <w:rsid w:val="3DA33CEE"/>
    <w:rsid w:val="42F76288"/>
    <w:rsid w:val="432452AB"/>
    <w:rsid w:val="435C5632"/>
    <w:rsid w:val="47237175"/>
    <w:rsid w:val="47F13561"/>
    <w:rsid w:val="48074B4D"/>
    <w:rsid w:val="4DBF418F"/>
    <w:rsid w:val="4DD93745"/>
    <w:rsid w:val="526633DC"/>
    <w:rsid w:val="540B1856"/>
    <w:rsid w:val="542A6FA2"/>
    <w:rsid w:val="54CF6D1E"/>
    <w:rsid w:val="5625745D"/>
    <w:rsid w:val="58B92314"/>
    <w:rsid w:val="5BFE3FCA"/>
    <w:rsid w:val="5D073736"/>
    <w:rsid w:val="5E1D6B3C"/>
    <w:rsid w:val="614529F8"/>
    <w:rsid w:val="61F21A78"/>
    <w:rsid w:val="67EE0E89"/>
    <w:rsid w:val="68711C96"/>
    <w:rsid w:val="69D91329"/>
    <w:rsid w:val="6A22334C"/>
    <w:rsid w:val="6DAF49E1"/>
    <w:rsid w:val="6DCA751C"/>
    <w:rsid w:val="6F4C5D0A"/>
    <w:rsid w:val="6FAC163A"/>
    <w:rsid w:val="70A433AB"/>
    <w:rsid w:val="71526EBD"/>
    <w:rsid w:val="72BE3F42"/>
    <w:rsid w:val="74526649"/>
    <w:rsid w:val="75FF25DC"/>
    <w:rsid w:val="76FA7B03"/>
    <w:rsid w:val="7996570D"/>
    <w:rsid w:val="7A5B4AC7"/>
    <w:rsid w:val="7CA750BC"/>
    <w:rsid w:val="7CC91FCC"/>
    <w:rsid w:val="7D56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before="1"/>
      <w:ind w:left="120"/>
    </w:pPr>
    <w:rPr>
      <w:rFonts w:ascii="宋体" w:hAnsi="宋体"/>
      <w:sz w:val="24"/>
    </w:rPr>
  </w:style>
  <w:style w:type="paragraph" w:styleId="4">
    <w:name w:val="index 6"/>
    <w:basedOn w:val="1"/>
    <w:next w:val="1"/>
    <w:qFormat/>
    <w:uiPriority w:val="0"/>
    <w:pPr>
      <w:ind w:left="-210" w:leftChars="-100"/>
      <w:jc w:val="center"/>
    </w:pPr>
    <w:rPr>
      <w:rFonts w:eastAsia="仿宋"/>
      <w:b/>
      <w:sz w:val="28"/>
      <w:szCs w:val="28"/>
    </w:rPr>
  </w:style>
  <w:style w:type="character" w:customStyle="1" w:styleId="7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1746</Words>
  <Characters>1842</Characters>
  <Lines>0</Lines>
  <Paragraphs>0</Paragraphs>
  <TotalTime>1</TotalTime>
  <ScaleCrop>false</ScaleCrop>
  <LinksUpToDate>false</LinksUpToDate>
  <CharactersWithSpaces>2075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2023-03-30T08:02:00Z</cp:lastPrinted>
  <dcterms:modified xsi:type="dcterms:W3CDTF">2023-03-31T08:59:09Z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FB3AD784BF2145D59DCFFCB38D80D73E_13</vt:lpwstr>
  </property>
</Properties>
</file>