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454"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shd w:val="clear" w:color="auto" w:fill="auto"/>
            <w:vAlign w:val="bottom"/>
          </w:tcPr>
          <w:p>
            <w:pPr>
              <w:rPr>
                <w:rFonts w:hint="eastAsia" w:ascii="宋体" w:hAnsi="宋体" w:eastAsia="宋体" w:cs="宋体"/>
                <w:i w:val="0"/>
                <w:color w:val="000000"/>
                <w:sz w:val="18"/>
                <w:szCs w:val="18"/>
                <w:u w:val="none"/>
              </w:rPr>
            </w:pPr>
          </w:p>
        </w:tc>
        <w:tc>
          <w:tcPr>
            <w:tcW w:w="1442"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550"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4198" w:type="dxa"/>
            <w:gridSpan w:val="3"/>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144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shd w:val="clear" w:color="auto" w:fill="auto"/>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株洲市石峰区残疾人联合会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资金总额：388.88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388.88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弘扬和发展残疾人事业，保障残疾人平等共享社会物质文化成果、维护残疾人合法权益。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仿宋_GB2312" w:hAnsi="仿宋_GB2312" w:eastAsia="仿宋_GB2312" w:cs="仿宋_GB2312"/>
                <w:color w:val="000000"/>
                <w:kern w:val="0"/>
                <w:sz w:val="20"/>
                <w:szCs w:val="20"/>
              </w:rPr>
              <w:t>事项1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 加强党的政治建设，始终坚定正确的政治方向</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2.巩固脱贫攻坚成果，助推乡村振兴发展有效衔接3.加大残疾人公共服务供给，促进残疾人融合发展</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4.强化自身建设，提升残联组织建设和服务水平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残疾人就业、教育、托养、康复等服务人数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惠及500人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满足残疾人居家服务需求</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稳步推进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各项工作完成时限</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残疾人家庭的幸福感</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康复专业技术人才培养力度，</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提升康复机构服务能力</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持续加大与提高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 xml:space="preserve">           </w:t>
      </w:r>
    </w:p>
    <w:tbl>
      <w:tblPr>
        <w:tblStyle w:val="3"/>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1905" w:type="dxa"/>
            <w:shd w:val="clear" w:color="auto" w:fill="auto"/>
            <w:vAlign w:val="bottom"/>
          </w:tcPr>
          <w:p>
            <w:pPr>
              <w:rPr>
                <w:rFonts w:hint="eastAsia" w:ascii="宋体" w:hAnsi="宋体" w:eastAsia="宋体" w:cs="宋体"/>
                <w:i w:val="0"/>
                <w:color w:val="000000"/>
                <w:sz w:val="18"/>
                <w:szCs w:val="18"/>
                <w:u w:val="none"/>
              </w:rPr>
            </w:pPr>
          </w:p>
        </w:tc>
        <w:tc>
          <w:tcPr>
            <w:tcW w:w="202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84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填报单位：（盖章）</w:t>
            </w:r>
          </w:p>
        </w:tc>
        <w:tc>
          <w:tcPr>
            <w:tcW w:w="1785" w:type="dxa"/>
            <w:shd w:val="clear" w:color="auto" w:fill="auto"/>
            <w:vAlign w:val="bottom"/>
          </w:tcPr>
          <w:p>
            <w:pPr>
              <w:jc w:val="left"/>
              <w:rPr>
                <w:rFonts w:hint="eastAsia" w:ascii="楷体" w:hAnsi="楷体" w:eastAsia="楷体" w:cs="楷体"/>
                <w:i w:val="0"/>
                <w:color w:val="000000"/>
                <w:sz w:val="24"/>
                <w:szCs w:val="24"/>
                <w:u w:val="none"/>
              </w:rPr>
            </w:pPr>
          </w:p>
        </w:tc>
        <w:tc>
          <w:tcPr>
            <w:tcW w:w="1905" w:type="dxa"/>
            <w:shd w:val="clear" w:color="auto" w:fill="auto"/>
            <w:vAlign w:val="bottom"/>
          </w:tcPr>
          <w:p>
            <w:pPr>
              <w:jc w:val="left"/>
              <w:rPr>
                <w:rFonts w:hint="eastAsia" w:ascii="楷体" w:hAnsi="楷体" w:eastAsia="楷体" w:cs="楷体"/>
                <w:i w:val="0"/>
                <w:color w:val="000000"/>
                <w:sz w:val="24"/>
                <w:szCs w:val="24"/>
                <w:u w:val="none"/>
              </w:rPr>
            </w:pPr>
          </w:p>
        </w:tc>
        <w:tc>
          <w:tcPr>
            <w:tcW w:w="2025" w:type="dxa"/>
            <w:shd w:val="clear" w:color="auto" w:fill="auto"/>
            <w:vAlign w:val="bottom"/>
          </w:tcPr>
          <w:p>
            <w:pPr>
              <w:keepNext w:val="0"/>
              <w:keepLines w:val="0"/>
              <w:widowControl/>
              <w:suppressLineNumbers w:val="0"/>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5"/>
                <w:rFonts w:eastAsia="宋体"/>
                <w:lang w:val="en-US" w:eastAsia="zh-CN" w:bidi="ar"/>
              </w:rPr>
              <w:t xml:space="preserve">  </w:t>
            </w:r>
            <w:r>
              <w:rPr>
                <w:rStyle w:val="6"/>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314.21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提退人员经费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23.42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残疾人事业补助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1、推进巩固拓展残疾人脱贫攻坚成果同乡村振兴战略有效衔接2. 促进就业增收和扶持力度</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3.提升康复服务水平4. 开展残疾人居家托养等服务项目</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开展残疾人居家托养服务150人，开启精神病患者“送药上门”， 资源整合形成合力，不断提升残疾人家庭幸福感，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困难帮扶-残联专项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68.6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增强重度残疾人家庭抵抗意外和住院综合风险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为符合条件的残疾人购买意外和住院综合保险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Calibri"/>
                <w:i w:val="0"/>
                <w:color w:val="000000"/>
                <w:sz w:val="20"/>
                <w:szCs w:val="20"/>
                <w:u w:val="none"/>
                <w:lang w:eastAsia="zh-CN"/>
              </w:rPr>
            </w:pPr>
            <w:r>
              <w:rPr>
                <w:rFonts w:hint="eastAsia" w:ascii="Calibri" w:hAnsi="Calibri" w:eastAsia="宋体" w:cs="Calibri"/>
                <w:i w:val="0"/>
                <w:color w:val="000000"/>
                <w:sz w:val="20"/>
                <w:szCs w:val="20"/>
                <w:u w:val="none"/>
                <w:lang w:eastAsia="zh-CN"/>
              </w:rPr>
              <w:t>四</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精心组织第全国助残日、国际残疾人日、全国残疾预防日活动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大力开展残疾人政策宣传活动，培养选拔推荐残疾人体育人才，开展残疾人文体活动。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五</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经开区-残疾人专项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73.19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开展经开片区残疾人及家庭就业、托养、康复、教育、维权等方面项目</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推动经开片区残疾人康复、就教等各项政策的顺利开展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shd w:val="clear" w:color="auto" w:fill="auto"/>
            <w:vAlign w:val="bottom"/>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 xml:space="preserve">            </w:t>
            </w:r>
          </w:p>
        </w:tc>
      </w:tr>
    </w:tbl>
    <w:p>
      <w:r>
        <w:br w:type="page"/>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提退人员经费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提退人员经费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23.42</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宋体" w:hAnsi="宋体" w:eastAsia="宋体" w:cs="宋体"/>
                <w:sz w:val="18"/>
                <w:szCs w:val="18"/>
                <w:lang w:val="en-US" w:eastAsia="zh-CN"/>
              </w:rPr>
            </w:pPr>
            <w:r>
              <w:rPr>
                <w:rFonts w:hint="eastAsia" w:ascii="宋体" w:hAnsi="宋体" w:eastAsia="宋体" w:cs="宋体"/>
                <w:sz w:val="18"/>
                <w:szCs w:val="18"/>
                <w:lang w:eastAsia="zh-CN"/>
              </w:rPr>
              <w:t>做好提退休人员的工资、奖金等发放</w:t>
            </w:r>
          </w:p>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宋体" w:hAnsi="宋体" w:eastAsia="宋体" w:cs="宋体"/>
                <w:sz w:val="18"/>
                <w:szCs w:val="18"/>
                <w:lang w:val="en-US" w:eastAsia="zh-CN"/>
              </w:rPr>
            </w:pPr>
            <w:r>
              <w:rPr>
                <w:rFonts w:hint="eastAsia" w:ascii="宋体" w:hAnsi="宋体" w:eastAsia="宋体" w:cs="宋体"/>
                <w:sz w:val="18"/>
                <w:szCs w:val="18"/>
                <w:lang w:eastAsia="zh-CN"/>
              </w:rPr>
              <w:t>做好提退休人员的工资、奖金等发放</w:t>
            </w:r>
          </w:p>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提退休人员</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1人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无</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无</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完成时限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2023年底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年初预算数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21.45万元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18"/>
                <w:szCs w:val="18"/>
              </w:rPr>
              <w:t>无直接经济效益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18"/>
                <w:szCs w:val="18"/>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做好提退休人员的管理工作</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为提退休人员做好服务工作</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提高提退休人员对工作的满意度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提退人员经费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提退人员的人员经费和公用经费等</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23.42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提退人员工资根据2022年11月份工资表计算，公用经费、车补根据年初预算计算标准安排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23.42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残疾人事业补助</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残疾人事业补助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1、推进巩固拓展残疾人脱贫攻坚成果同乡村振兴战略有效衔接2. 促进就业增收和扶持力度3.提升康复服务水平4. 开展残疾人居家托养服务项目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开展残疾人居家托养服务150人，开启精神病患者“送药上门”， 资源整合形成合力，不断提升残疾人家庭幸福感，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残疾人居家托养等项目服务</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居家服务水平</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稳步提升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各项工作完成时限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2023年12月</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残疾人家庭的幸福感</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不断提高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残疾人保障体系</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持续完善发展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残疾人体育</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湖南省实施《中华人民共和国残疾人保障法》办法、株残组宣文字〔2022〕5号《关于开展全市残疾人文化周活动的通知》补助6万元。省级残疾人运动员重大赛事奖励资金及重大残疾人节日宣传文体活动经费6万元，残疾人运动员训练补助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残疾人居家托养服务</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关于印发《湖南省残疾人托养服务工作实施办法》的通知（湘残联字[2012]39号文件）、株残教就字〔2022〕1号 《关于下达2022年度残疾人托养任务的通知》130人×450元/年+20人/1050元+10人/2100元，43人×3600元/年，17人×4800元/年残疾人辅助器具适配及维护</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200件×500元/件均价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残疾人帮扶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省残联《关于做好2022年度残疾人创业扶持工作任务的通知》（湘残教就字〔2022〕5号）技能培训60人/3000元，残疾人创业帮扶5人×4000元均值，贫困残疾人家庭无障碍改造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残疾儿童康复救助</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《湖南省人民政府关于建立残疾儿童康复救助制度的实施意见》（湘政发〔2018〕23号文件）、株洲市石峰区人民政府关于印发《石峰区残疾儿童康复救助制度实施细则》的通知，45名残疾儿童×1.5万元/人/年</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困难帮扶-残联专项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困难帮扶-残联专项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68.6</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为符合条件的残疾人购买意外和住院综合保险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残疾人意外和住院综合保险</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增强残疾人家庭抵御意外和住院风险能力</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风险抵御能力</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有效增强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各项工作完成时限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年初预算</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68.6万元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残疾人家庭的幸福感</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不断提高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残疾人保障体系</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不断完善</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残疾人意外和住院综合保险</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根据实际本区残疾人实际数量需求测算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残保金征收政策宣传，项目第三方监测，残疾人大学生及贫困残疾人大学生子女资助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加大宣传力度，提高残疾人法律意识，积极开展法律咨询、法律援助等服务,加大残疾人法律救助覆盖面。协调政府相关部门落实帮扶政策，加大“因残致贫”家庭的社会救助。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残疾人大学生及贫困残疾人大学生子女资助人数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资助服务水平</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稳步提升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各项工作完成时限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2023年12月</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残疾人家庭的幸福感</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不断提高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精准实现残疾人兜底保障应保尽保应享尽享</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持续发展完善</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残疾人大学生及贫困残疾人大学生子女资助</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湘残联字{2015}24号、〔2012〕57号文件，市、区两级各负担一半，区级配套平均2000元/人*10人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残保金征收政策宣传费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《中华人民共和国残疾人保障法》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项目第三方监测费用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2021年区审计部门整改意见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经开区-残疾人专项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经开区-残疾人专项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73.19</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完成原经开区各项残疾人事业发展指标任务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开展原经开区各残疾人服务项目</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完成就教、维权、保障、康复等各项工作任务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为残疾人服务水平</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稳步提升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各项工作完成时限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残疾人家庭的幸福感</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不断提高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残疾人权益保障体系</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持续发展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残健融合</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不断加强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增强各界对残疾人的关怀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残疾人康复</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儿康等服务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儿童康复25万，服药补贴10万，辅具10万。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残疾人就业和保障</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托养、无障碍改造等项目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家庭无障碍改造10万，残疾人托养服务15万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专干工资</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街道残疾人专干工资</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3.19万元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3人*15000元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73.19万元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2C012709"/>
    <w:rsid w:val="0082459E"/>
    <w:rsid w:val="00D8393F"/>
    <w:rsid w:val="04152867"/>
    <w:rsid w:val="0A011F5A"/>
    <w:rsid w:val="0A6F29BA"/>
    <w:rsid w:val="0B607388"/>
    <w:rsid w:val="0FF76999"/>
    <w:rsid w:val="11560570"/>
    <w:rsid w:val="124B479E"/>
    <w:rsid w:val="14DA31B6"/>
    <w:rsid w:val="18170EC2"/>
    <w:rsid w:val="1B2718F8"/>
    <w:rsid w:val="1BF42EDC"/>
    <w:rsid w:val="1CEB3AA0"/>
    <w:rsid w:val="1CFC48DD"/>
    <w:rsid w:val="1FC21B82"/>
    <w:rsid w:val="21AD5C13"/>
    <w:rsid w:val="240B5A00"/>
    <w:rsid w:val="24104E0C"/>
    <w:rsid w:val="256A6354"/>
    <w:rsid w:val="273078C8"/>
    <w:rsid w:val="27E306C4"/>
    <w:rsid w:val="2C012709"/>
    <w:rsid w:val="2D461F32"/>
    <w:rsid w:val="2D530D95"/>
    <w:rsid w:val="311C763D"/>
    <w:rsid w:val="33002DCF"/>
    <w:rsid w:val="36547960"/>
    <w:rsid w:val="371A56A6"/>
    <w:rsid w:val="37B136F2"/>
    <w:rsid w:val="3DA33CEE"/>
    <w:rsid w:val="405A4B16"/>
    <w:rsid w:val="42F76288"/>
    <w:rsid w:val="432452AB"/>
    <w:rsid w:val="435C5632"/>
    <w:rsid w:val="46F1648F"/>
    <w:rsid w:val="47237175"/>
    <w:rsid w:val="47F13561"/>
    <w:rsid w:val="4DD93745"/>
    <w:rsid w:val="540B1856"/>
    <w:rsid w:val="542A6FA2"/>
    <w:rsid w:val="54CF6D1E"/>
    <w:rsid w:val="58B92314"/>
    <w:rsid w:val="5BFE3FCA"/>
    <w:rsid w:val="5D073736"/>
    <w:rsid w:val="5E1D6B3C"/>
    <w:rsid w:val="67EE0E89"/>
    <w:rsid w:val="69D91329"/>
    <w:rsid w:val="6CFC6B70"/>
    <w:rsid w:val="6DAE47F4"/>
    <w:rsid w:val="6DAF49E1"/>
    <w:rsid w:val="6DCA751C"/>
    <w:rsid w:val="6FAC163A"/>
    <w:rsid w:val="70A433AB"/>
    <w:rsid w:val="71526EBD"/>
    <w:rsid w:val="72BE3F42"/>
    <w:rsid w:val="7344384D"/>
    <w:rsid w:val="75FF25DC"/>
    <w:rsid w:val="76FA7B03"/>
    <w:rsid w:val="7996570D"/>
    <w:rsid w:val="7A5B4AC7"/>
    <w:rsid w:val="7CA750BC"/>
    <w:rsid w:val="7CC9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customStyle="1" w:styleId="5">
    <w:name w:val="font01"/>
    <w:basedOn w:val="4"/>
    <w:qFormat/>
    <w:uiPriority w:val="0"/>
    <w:rPr>
      <w:rFonts w:hint="default" w:ascii="Times New Roman" w:hAnsi="Times New Roman" w:cs="Times New Roman"/>
      <w:b/>
      <w:color w:val="000000"/>
      <w:sz w:val="20"/>
      <w:szCs w:val="20"/>
      <w:u w:val="none"/>
    </w:rPr>
  </w:style>
  <w:style w:type="character" w:customStyle="1" w:styleId="6">
    <w:name w:val="font41"/>
    <w:basedOn w:val="4"/>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2895</Words>
  <Characters>3118</Characters>
  <Lines>0</Lines>
  <Paragraphs>0</Paragraphs>
  <TotalTime>1</TotalTime>
  <ScaleCrop>false</ScaleCrop>
  <LinksUpToDate>false</LinksUpToDate>
  <CharactersWithSpaces>3603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2023-10-27T03:59:41Z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7918D9FC77A7463683C4FE5E2EDC34A1</vt:lpwstr>
  </property>
</Properties>
</file>