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</w:rPr>
              <w:t>2023年部门整体支出绩效目标表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石峰区医疗保障局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资金总额：1086.42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1086.42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128.42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（一）贯彻执行国家、省、市关于医疗保险、生育保险、医疗救助等医疗保障制度的法律法规、政策，拟订全区相关规划，并组织起草规范性文件。</w:t>
            </w:r>
          </w:p>
          <w:p>
            <w:pPr>
              <w:ind w:firstLine="400" w:firstLineChars="200"/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（二）贯彻落实医疗保障筹资和待遇政策，完善动态调整和区域调剂平衡机制，统筹城乡医疗保障待遇标准，建立健全与筹资水平相适应的待遇调整机制。落实长期护理保险制度改革方案。</w:t>
            </w:r>
          </w:p>
          <w:p>
            <w:pPr>
              <w:ind w:firstLine="400" w:firstLineChars="200"/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（三）贯彻落实医疗保障基金监督管理办法，监督管理相关医疗保障基金，建立健全医疗保障基金安全防控机制，协助推进医疗保障基金支付方式改革。</w:t>
            </w:r>
          </w:p>
          <w:p>
            <w:pPr>
              <w:ind w:firstLine="400" w:firstLineChars="200"/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（四）组织实施城乡统一的药品、医用耗材、医疗服务项目、医疗服务设施等医保目录和支付标准，协助建立动态调整机制，承担医保目录准入相关工作。</w:t>
            </w:r>
          </w:p>
          <w:p>
            <w:pPr>
              <w:ind w:firstLine="400" w:firstLineChars="200"/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（五）组织实施药品、医用耗材价格和医疗服务项目、医疗服务设施收费等政策，协助建立医保支付医药服务价格合理确定和动态调整机制，协助建立市场主导的社会医药服务价格形成机制，协助做好价格信息监测工作。</w:t>
            </w:r>
          </w:p>
          <w:p>
            <w:pPr>
              <w:ind w:firstLine="400" w:firstLineChars="200"/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（六）监督指导定点医疗机构实施省市药品、医用耗材的招标采购政策。</w:t>
            </w:r>
          </w:p>
          <w:p>
            <w:pPr>
              <w:ind w:firstLine="400" w:firstLineChars="200"/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（七）落实定点医药机构协议和支付管理办法，建立健全医疗保障信用评价体系和信息披露制度，监督管理纳入医保范围内的医疗服务行为和医疗费用，依法查处医疗保障领域违法违规行为。</w:t>
            </w:r>
          </w:p>
          <w:p>
            <w:pPr>
              <w:ind w:firstLine="400" w:firstLineChars="200"/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（八）负责医疗保障经办管理、公共服务体系和信息化建设。指导和监督全区医疗保险、生育保险、医疗救助等医疗保障经办业务工作。落实和完善异地就医管理和费用结算政策。</w:t>
            </w:r>
          </w:p>
          <w:p>
            <w:pPr>
              <w:ind w:firstLine="400" w:firstLineChars="200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（九）完成区委、区政府交办的其他任务。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医疗补助、医药费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医保局办公室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做好区属困难企业、离休人员和原已认定老工伤人员医疗保障相关工作。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基金监管、专家评审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医保局办公室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做好基金监管、城乡居民特殊门诊专家评审、欺诈骗保举报奖励等各项工作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医疗救助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医保局医疗保障事务中心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sz w:val="20"/>
                <w:szCs w:val="20"/>
              </w:rPr>
              <w:t>做好 “一站式”结算、资助参保、第三类对象救助和再救助等工作。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城乡居民医疗保险补助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医保局医疗保障中心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sz w:val="20"/>
                <w:szCs w:val="20"/>
              </w:rPr>
              <w:t>各级财政补贴及时、足额到位，确保城乡居民享受好医保待遇。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指标值及单位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辖区范围内的服务人数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近23万人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做好医疗保障相关工作，确保群众应保尽保，及时享受医保待遇，监管好基金使用，确保基金平稳运行。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医疗保障工作应保尽保、监管实现全覆盖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工作开展时间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2023年年底前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根据服务人口、业务开展情况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合理控制成本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医疗保险保障水平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稳步提高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城乡居民医保待遇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稳步提升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服务对象满意度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95%以上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填表人：         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</w:rPr>
        <w:t xml:space="preserve">         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联系电话：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tbl>
      <w:tblPr>
        <w:tblStyle w:val="4"/>
        <w:tblW w:w="90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1827"/>
        <w:gridCol w:w="282"/>
        <w:gridCol w:w="568"/>
        <w:gridCol w:w="1264"/>
        <w:gridCol w:w="1571"/>
        <w:gridCol w:w="384"/>
        <w:gridCol w:w="24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849" w:type="dxa"/>
            <w:gridSpan w:val="3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0"/>
                <w:szCs w:val="20"/>
              </w:rPr>
              <w:br w:type="page"/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黑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</w:rPr>
              <w:t>附表2</w:t>
            </w:r>
          </w:p>
        </w:tc>
        <w:tc>
          <w:tcPr>
            <w:tcW w:w="1832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9087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</w:rPr>
              <w:t>2023年区级专项资金绩效目标汇总表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67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支出方向（子项）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color w:val="000000" w:themeColor="text1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>合</w:t>
            </w:r>
            <w:r>
              <w:rPr>
                <w:rStyle w:val="7"/>
                <w:rFonts w:hint="default"/>
                <w:color w:val="000000" w:themeColor="text1"/>
              </w:rPr>
              <w:t>计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958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4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区属困难企业退休人员、离休干部、老工伤人员医保费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1. 妥善解决区属困难企业职工医疗保险问题。2.</w:t>
            </w: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 xml:space="preserve"> 进一步改善和提高我区离休干部医疗服务水平，切实加强医疗管理。3. 为原已认定的老工伤人员全额报销旧伤复发医药费。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1. 及时将款项上交市局，确保区属困难企业退休人员享受住院医疗保险和大病医疗保险待遇。2. 及时将款项上交市局，</w:t>
            </w: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保证离休干部的医疗待遇，方便离休干部就医。3.确保此类人员享受老工伤人员医药费报销待遇。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二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医保参保代办工作劳务费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为确保做好参保缴费工作，确保应保尽保，按市级文件，给予1元/人的代办工作劳务费。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确保做好参保缴费工作。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业务性专项经费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1. 特殊门诊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专家复评核准。</w:t>
            </w: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完善城乡居民基本医疗保险制度政策体系，保障参保人员特殊病种门诊医疗基本需求，加强城乡居民基本医疗保险特殊病种门诊管理。2.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 基金监管。</w:t>
            </w: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对医保基金开展日常监管和专项稽核。3.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 欺诈骗保举报奖励。</w:t>
            </w: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引导社会各方参与医保基金监督工作，切实保障医保基金安全。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1.引导参保患者合理选择门诊治疗，提高医疗保险基金使用效率。2. 做好打击欺诈骗取医保基金工作，确保医保基金合理使用。3. 营造打击欺诈骗保高压态势。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城乡居民医疗保险财政补助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770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按照《株洲市医疗卫生领域市与县（市）区财政事权和支出责任划分改革实施方案》，承担城乡居民医保的区级财政补贴部分。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各级财政补贴及时、足额到位，确保城乡居民享受好医保待遇。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医疗救助专项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sz w:val="20"/>
                <w:szCs w:val="20"/>
              </w:rPr>
              <w:t>根据医疗救助文件，做好 “一站式”结算、资助参保、第三类对象救助和再救助等工作。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sz w:val="20"/>
                <w:szCs w:val="20"/>
              </w:rPr>
              <w:t>确保符合政策的人员及时享受待遇，最大限度的减少“因病致贫、因病返贫”。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0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单位负责人签字：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087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填表人：                            联系电话：</w:t>
            </w:r>
          </w:p>
        </w:tc>
      </w:tr>
    </w:tbl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24"/>
        </w:rPr>
      </w:pPr>
    </w:p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24"/>
        </w:rPr>
      </w:pPr>
    </w:p>
    <w:p>
      <w:pPr>
        <w:widowControl/>
        <w:jc w:val="left"/>
        <w:textAlignment w:val="center"/>
        <w:rPr>
          <w:rFonts w:ascii="黑体" w:hAnsi="宋体" w:eastAsia="黑体" w:cs="黑体"/>
          <w:color w:val="000000" w:themeColor="text1"/>
          <w:kern w:val="0"/>
          <w:sz w:val="24"/>
        </w:rPr>
      </w:pP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47"/>
        <w:gridCol w:w="926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 w:themeColor="text1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 w:themeColor="text1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区属困难企业退休人员、离休干部、老工伤人员医保费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区属困难企业退休人员、离休干部、老工伤人员医保费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2023全年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1. 妥善解决区属困难企业职工医疗保险问题。2.</w:t>
            </w:r>
            <w:r>
              <w:rPr>
                <w:rFonts w:hint="eastAsia" w:ascii="宋体" w:hAnsi="宋体" w:eastAsia="宋体" w:cs="Calibri"/>
                <w:color w:val="000000" w:themeColor="text1"/>
                <w:sz w:val="20"/>
                <w:szCs w:val="20"/>
              </w:rPr>
              <w:t xml:space="preserve"> 进一步改善和提高我区离休干部医疗服务水平，切实加强医疗管理。3. 为原已认定的老工伤人员全额报销旧伤复发医药费。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1. 及时将款项上交市局，确保区属困难企业退休人员享受住院医疗保险和大病医疗保险待遇。2. 及时将款项上交市局，</w:t>
            </w:r>
            <w:r>
              <w:rPr>
                <w:rFonts w:hint="eastAsia" w:ascii="宋体" w:hAnsi="宋体" w:eastAsia="宋体" w:cs="Calibri"/>
                <w:color w:val="000000" w:themeColor="text1"/>
                <w:sz w:val="20"/>
                <w:szCs w:val="20"/>
              </w:rPr>
              <w:t>保证离休干部的医疗待遇，方便离休干部就医。3.确保老工伤人员享受旧伤复发医药费报销待遇。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区属困难企业退休人员、离休干部、老工伤人员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100" w:firstLineChars="50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200余人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医疗保障覆盖率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工作开展时间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2023年全年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1.区属困难企业退休人员缴费基数及区财政负担费率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2.安排离休干部的医疗费。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3.以老工伤人员旧伤复发情况予以报销。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100" w:firstLineChars="50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1.基数为株洲市上年度全省全口径在岗职工年平均工资，区财政负担费率2%。</w:t>
            </w:r>
          </w:p>
          <w:p>
            <w:pPr>
              <w:ind w:firstLine="100" w:firstLineChars="50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合理控制成本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区属困难企业退休人员、离休干部、原已认定老工伤人员医疗待遇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及时享受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服务保障能力和管理水平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不断提升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服务对象满意度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95%以上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行业标准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医疗保险费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区属困难企业职工医疗保险费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以株洲市上年度全省全口径在岗职工年平均工资为基数，按4%费率缴纳基本医疗保险费，其中区属企业2%费率部分应由同级财政予以安排。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医疗费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离休干部、老工伤人员产生的医疗费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1.离休干部6人，医疗费2万/人/年，缺口另行补充。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2.老工伤人员旧伤复发情况，以2022年实际发生核实予以报销。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合  计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填表人：          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联系电话：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17"/>
        <w:gridCol w:w="1016"/>
        <w:gridCol w:w="280"/>
        <w:gridCol w:w="1314"/>
        <w:gridCol w:w="1270"/>
        <w:gridCol w:w="819"/>
        <w:gridCol w:w="1067"/>
        <w:gridCol w:w="354"/>
        <w:gridCol w:w="9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</w:rPr>
              <w:t>附表3</w:t>
            </w: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 w:themeColor="text1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 w:themeColor="text1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5572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医保参保代办工作劳务费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医保参保代办工作劳务费专项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金额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2022年全年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为确保做好参保缴费工作，确保应保尽保，按市级文件，给予1元/人的代办工作劳务费。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确保做好参保缴费工作。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2023年城乡居民（原新农合）参合人数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9万余人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拨付至街道、社区（村）、学校、网格中心等单位。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5个街道45个社区（村）14个学校1个网格中心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工作开展时间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2023全年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筹资代办劳务费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1元/人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医保政策家喻户晓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良好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可持续影响 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城乡居民参保率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稳步提升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服务对象满意度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95%以上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行业标准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支出明细及测算 说明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支出内容简介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医保参保代办工作劳务费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拨付至街道、社区（村）、学校、网格中心等单位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为确保做好参保缴费工作，确保应保尽保，按市级文件，给予1元/人的代办工作劳务费。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合  计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87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填表人：          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联系电话： </w:t>
      </w:r>
    </w:p>
    <w:p>
      <w:pPr>
        <w:widowControl/>
        <w:jc w:val="left"/>
        <w:textAlignment w:val="center"/>
        <w:rPr>
          <w:rFonts w:ascii="黑体" w:hAnsi="宋体" w:eastAsia="黑体" w:cs="黑体"/>
          <w:color w:val="000000" w:themeColor="text1"/>
          <w:kern w:val="0"/>
          <w:sz w:val="24"/>
        </w:rPr>
      </w:pPr>
    </w:p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24"/>
        </w:rPr>
      </w:pPr>
    </w:p>
    <w:p>
      <w:pPr>
        <w:widowControl/>
        <w:jc w:val="left"/>
        <w:textAlignment w:val="center"/>
        <w:rPr>
          <w:rFonts w:ascii="黑体" w:hAnsi="宋体" w:eastAsia="黑体" w:cs="黑体"/>
          <w:color w:val="000000" w:themeColor="text1"/>
          <w:kern w:val="0"/>
          <w:sz w:val="24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24"/>
        </w:rPr>
        <w:t>附表3</w:t>
      </w: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6"/>
        <w:gridCol w:w="1314"/>
        <w:gridCol w:w="1270"/>
        <w:gridCol w:w="819"/>
        <w:gridCol w:w="1279"/>
        <w:gridCol w:w="10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 w:themeColor="text1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 w:themeColor="text1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2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3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业务性专项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业务性专项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金额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2023全年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Calibri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1.完善城乡居民基本医疗保险制度政策体系，保障参保人员特殊病种门诊医疗基本需求，加强城乡居民基本医疗保险特殊病种门诊管理。</w:t>
            </w:r>
          </w:p>
          <w:p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 xml:space="preserve"> 对医保基金开展日常监管和专项稽核。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3. 引导社会各方参与医保基金监督工作，切实保障医保基金安全。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1.引导参保患者合理选择门诊治疗，提高医疗保险基金使用效率。2.做好打击欺诈骗取医保基金工作，确保医保基金合理使用。3. 营造打击欺诈骗保高压态势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1. 监管医药机构数量。</w:t>
            </w:r>
          </w:p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2. 2023年受理举报人数。</w:t>
            </w:r>
          </w:p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3.特殊门诊专家复评核准次数。</w:t>
            </w:r>
          </w:p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4.4轮现场监管轮数。</w:t>
            </w:r>
          </w:p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1.监管机构数量141家.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2.举报人数为2023年实际有效举报人数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3.4次</w:t>
            </w:r>
          </w:p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4.不少于4轮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1.城乡居民医保中符合政策的对象。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2. 通过现场检查，做好医保基金监管工作。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监管实现覆盖100%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工作开展时间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2023年年底前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一、二、三级举报奖励金额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查实被欺诈骗取的医疗保障基金金额的 5%、3%、2%给予奖励；最高不超过8万元。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加强城乡居民基本医疗保险特殊病种门诊管理，积极做好打击欺诈骗取医保基金工作。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确保医保基金合理使用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引导社会各方参与医疗保障基金监督工作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保障医疗保障基金安全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服务对象满意度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95%以上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行业标准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支出明细及测算 说明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支出内容简介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特殊门诊专家复评核准工作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聘请专家对城乡居民特门申请对象进行复评核准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根据往年已签订的复评核准合同2万/年支付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基金监管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监管医药机构基金使用情况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聘请有资质的第三方机构对新农合基金开展日常监管和专项稽核。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欺诈骗保举报奖励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实名举报人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一、二、三级举报奖励的，按查实被欺诈骗取的医疗保障基金金额的 5%、3%、2%给予奖励；最高不超过8万元。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合  计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填表人：          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联系电话：         </w:t>
      </w: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6"/>
        <w:gridCol w:w="1314"/>
        <w:gridCol w:w="1270"/>
        <w:gridCol w:w="819"/>
        <w:gridCol w:w="1067"/>
        <w:gridCol w:w="212"/>
        <w:gridCol w:w="10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</w:rPr>
              <w:t>附表3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 w:themeColor="text1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 w:themeColor="text1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2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城乡居民医保补助专项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城乡居民医保补助专项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770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金额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770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2023全年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按照《株洲市医疗卫生领域市与县（市）区财政事权和支出责任划分改革实施方案》，承担城乡居民医保的区级财政补贴部分。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 w:themeColor="text1"/>
                <w:sz w:val="20"/>
                <w:szCs w:val="20"/>
              </w:rPr>
              <w:t>各级财政补贴及时、足额到位，确保城乡居民享受好医保待遇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辖区范围内参加城乡居民医保的人数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9.4万人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补贴覆盖参保人员情况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工作开展时间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2023年7月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区级财政配套金额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96元/人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基金收支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达到基本平衡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医疗保险保障水平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稳步提高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城乡居民医保待遇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稳步提升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服务对象满意度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95%以上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行业标准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支出明细及测算 说明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支出内容简介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城乡居民医保补助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对辖区范围内参加城乡居民医保的补助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770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中央、省、市、区四级财政配套共640元/人，其中区级财政配套15%。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合  计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770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填表人：          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联系电话：      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6"/>
        <w:gridCol w:w="1314"/>
        <w:gridCol w:w="1270"/>
        <w:gridCol w:w="819"/>
        <w:gridCol w:w="1067"/>
        <w:gridCol w:w="212"/>
        <w:gridCol w:w="10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</w:rPr>
              <w:t>附表3</w:t>
            </w:r>
          </w:p>
        </w:tc>
        <w:tc>
          <w:tcPr>
            <w:tcW w:w="1296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 w:themeColor="text1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 w:themeColor="text1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72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医疗救助专项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医疗救助专项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金额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2023全年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sz w:val="20"/>
                <w:szCs w:val="20"/>
              </w:rPr>
              <w:t>根据医疗救助文件，做好 “一站式”结算、资助参保、第三类对象救助和再救助等工作。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sz w:val="20"/>
                <w:szCs w:val="20"/>
              </w:rPr>
              <w:t>确保符合政策的人员及时享受待遇，最大限度的减少“因病致贫、因病返贫”。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符合政策的对象人数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7000人次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对符合政策的对象及时救助到位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0101-202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2023年全年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一是参保资助。对重度残疾人等特殊对象实行全额资助；对低保等特殊对象实行50%资助。二是住院医疗救助。第一类救助对象不设起付线，按照90%比例给予救助；第二类救助对象起付线为1600元，按照70%比例给予救助；第三类救助对象起付线为8000元，按照50%比例给予救助。退役军人提高10%。三是门诊医疗救助。年度救助限额不超过8000元。四是再救助制度。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sz w:val="20"/>
                <w:szCs w:val="20"/>
              </w:rPr>
              <w:t>最大限度的减少“因病致贫、因病返贫”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服务对象满意度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95%以上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行业标准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支出明细及测算 说明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支出内容简介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医疗救助专项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对符合政策的对象及时救（补）助到位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按实际发生金额补助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合  计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</w:rPr>
      </w:pP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填表人：          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</w:rPr>
        <w:t xml:space="preserve">联系电话：      </w:t>
      </w:r>
    </w:p>
    <w:sectPr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M4NWM4NGNkNjZkMzhmOTMwOGQxZDdmN2IxODY3ZmEifQ=="/>
  </w:docVars>
  <w:rsids>
    <w:rsidRoot w:val="2C012709"/>
    <w:rsid w:val="00017062"/>
    <w:rsid w:val="00017B77"/>
    <w:rsid w:val="00034008"/>
    <w:rsid w:val="0008525D"/>
    <w:rsid w:val="000D0B5E"/>
    <w:rsid w:val="0010565F"/>
    <w:rsid w:val="0014237A"/>
    <w:rsid w:val="001A3021"/>
    <w:rsid w:val="0021224B"/>
    <w:rsid w:val="00235AE4"/>
    <w:rsid w:val="00251A20"/>
    <w:rsid w:val="0025727E"/>
    <w:rsid w:val="002A37C1"/>
    <w:rsid w:val="002F1B16"/>
    <w:rsid w:val="002F5573"/>
    <w:rsid w:val="0030614A"/>
    <w:rsid w:val="00331F60"/>
    <w:rsid w:val="003857C2"/>
    <w:rsid w:val="003915AE"/>
    <w:rsid w:val="003B0985"/>
    <w:rsid w:val="003B18E5"/>
    <w:rsid w:val="003B7786"/>
    <w:rsid w:val="003D4C17"/>
    <w:rsid w:val="00430A76"/>
    <w:rsid w:val="00430F6E"/>
    <w:rsid w:val="004D4C55"/>
    <w:rsid w:val="00500867"/>
    <w:rsid w:val="005529CC"/>
    <w:rsid w:val="005B2368"/>
    <w:rsid w:val="005E23A0"/>
    <w:rsid w:val="00617C51"/>
    <w:rsid w:val="006702EB"/>
    <w:rsid w:val="00680155"/>
    <w:rsid w:val="00690E6D"/>
    <w:rsid w:val="006E26BF"/>
    <w:rsid w:val="00702086"/>
    <w:rsid w:val="00711549"/>
    <w:rsid w:val="007156FF"/>
    <w:rsid w:val="00762F28"/>
    <w:rsid w:val="007A0E2F"/>
    <w:rsid w:val="007A7B95"/>
    <w:rsid w:val="007B6C32"/>
    <w:rsid w:val="007C374E"/>
    <w:rsid w:val="007E5D4F"/>
    <w:rsid w:val="0082459E"/>
    <w:rsid w:val="00853C5E"/>
    <w:rsid w:val="008555B3"/>
    <w:rsid w:val="0085573D"/>
    <w:rsid w:val="00871513"/>
    <w:rsid w:val="00896CC6"/>
    <w:rsid w:val="008D09EC"/>
    <w:rsid w:val="009276C8"/>
    <w:rsid w:val="00972E66"/>
    <w:rsid w:val="00985C2E"/>
    <w:rsid w:val="00990370"/>
    <w:rsid w:val="009F3439"/>
    <w:rsid w:val="00A26493"/>
    <w:rsid w:val="00AC04AB"/>
    <w:rsid w:val="00AC65DC"/>
    <w:rsid w:val="00AC7940"/>
    <w:rsid w:val="00AE12B2"/>
    <w:rsid w:val="00B17B28"/>
    <w:rsid w:val="00B24FB9"/>
    <w:rsid w:val="00B85136"/>
    <w:rsid w:val="00C11A6B"/>
    <w:rsid w:val="00C22145"/>
    <w:rsid w:val="00C3587B"/>
    <w:rsid w:val="00C805D8"/>
    <w:rsid w:val="00C8181F"/>
    <w:rsid w:val="00CB11D8"/>
    <w:rsid w:val="00CB7626"/>
    <w:rsid w:val="00CC4079"/>
    <w:rsid w:val="00CD01D8"/>
    <w:rsid w:val="00CF72FD"/>
    <w:rsid w:val="00D025AB"/>
    <w:rsid w:val="00D22CA1"/>
    <w:rsid w:val="00D6731F"/>
    <w:rsid w:val="00DC2C37"/>
    <w:rsid w:val="00DC5C97"/>
    <w:rsid w:val="00E21799"/>
    <w:rsid w:val="00E51B18"/>
    <w:rsid w:val="00E948F2"/>
    <w:rsid w:val="00EB247A"/>
    <w:rsid w:val="00ED708A"/>
    <w:rsid w:val="00ED7D71"/>
    <w:rsid w:val="00EF098C"/>
    <w:rsid w:val="00F338FF"/>
    <w:rsid w:val="00FB310D"/>
    <w:rsid w:val="00FC3DE8"/>
    <w:rsid w:val="00FD090D"/>
    <w:rsid w:val="04152867"/>
    <w:rsid w:val="08ED4845"/>
    <w:rsid w:val="0A011F5A"/>
    <w:rsid w:val="0A6F29BA"/>
    <w:rsid w:val="0B607388"/>
    <w:rsid w:val="11560570"/>
    <w:rsid w:val="124B479E"/>
    <w:rsid w:val="14DA31B6"/>
    <w:rsid w:val="163F19FD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D41E8C-72DE-4CAB-85C1-C9717443D8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1008</Words>
  <Characters>5750</Characters>
  <Lines>47</Lines>
  <Paragraphs>13</Paragraphs>
  <TotalTime>352</TotalTime>
  <ScaleCrop>false</ScaleCrop>
  <LinksUpToDate>false</LinksUpToDate>
  <CharactersWithSpaces>6745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2023-10-25T08:43:57Z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