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54"/>
        <w:gridCol w:w="1259"/>
        <w:gridCol w:w="1485"/>
        <w:gridCol w:w="1440"/>
        <w:gridCol w:w="1470"/>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454"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附表1</w:t>
            </w:r>
          </w:p>
        </w:tc>
        <w:tc>
          <w:tcPr>
            <w:tcW w:w="1259" w:type="dxa"/>
            <w:shd w:val="clear" w:color="auto" w:fill="auto"/>
            <w:vAlign w:val="bottom"/>
          </w:tcPr>
          <w:p>
            <w:pPr>
              <w:jc w:val="left"/>
              <w:rPr>
                <w:rFonts w:hint="eastAsia" w:ascii="宋体" w:hAnsi="宋体" w:eastAsia="宋体" w:cs="宋体"/>
                <w:i w:val="0"/>
                <w:color w:val="000000"/>
                <w:sz w:val="20"/>
                <w:szCs w:val="20"/>
                <w:u w:val="none"/>
              </w:rPr>
            </w:pPr>
          </w:p>
        </w:tc>
        <w:tc>
          <w:tcPr>
            <w:tcW w:w="1485" w:type="dxa"/>
            <w:shd w:val="clear" w:color="auto" w:fill="auto"/>
            <w:vAlign w:val="bottom"/>
          </w:tcPr>
          <w:p>
            <w:pPr>
              <w:jc w:val="center"/>
              <w:rPr>
                <w:rFonts w:hint="eastAsia" w:ascii="宋体" w:hAnsi="宋体" w:eastAsia="宋体" w:cs="宋体"/>
                <w:i w:val="0"/>
                <w:color w:val="000000"/>
                <w:sz w:val="20"/>
                <w:szCs w:val="20"/>
                <w:u w:val="none"/>
              </w:rPr>
            </w:pPr>
          </w:p>
        </w:tc>
        <w:tc>
          <w:tcPr>
            <w:tcW w:w="1440" w:type="dxa"/>
            <w:shd w:val="clear" w:color="auto" w:fill="auto"/>
            <w:vAlign w:val="bottom"/>
          </w:tcPr>
          <w:p>
            <w:pPr>
              <w:rPr>
                <w:rFonts w:hint="eastAsia" w:ascii="宋体" w:hAnsi="宋体" w:eastAsia="宋体" w:cs="宋体"/>
                <w:i w:val="0"/>
                <w:color w:val="000000"/>
                <w:sz w:val="20"/>
                <w:szCs w:val="20"/>
                <w:u w:val="none"/>
              </w:rPr>
            </w:pPr>
          </w:p>
        </w:tc>
        <w:tc>
          <w:tcPr>
            <w:tcW w:w="1470" w:type="dxa"/>
            <w:shd w:val="clear" w:color="auto" w:fill="auto"/>
            <w:vAlign w:val="bottom"/>
          </w:tcPr>
          <w:p>
            <w:pPr>
              <w:rPr>
                <w:rFonts w:hint="eastAsia" w:ascii="宋体" w:hAnsi="宋体" w:eastAsia="宋体" w:cs="宋体"/>
                <w:i w:val="0"/>
                <w:color w:val="000000"/>
                <w:sz w:val="18"/>
                <w:szCs w:val="18"/>
                <w:u w:val="none"/>
              </w:rPr>
            </w:pPr>
          </w:p>
        </w:tc>
        <w:tc>
          <w:tcPr>
            <w:tcW w:w="1442"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8550" w:type="dxa"/>
            <w:gridSpan w:val="6"/>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trPr>
        <w:tc>
          <w:tcPr>
            <w:tcW w:w="4198" w:type="dxa"/>
            <w:gridSpan w:val="3"/>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144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7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42" w:type="dxa"/>
            <w:shd w:val="clear" w:color="auto" w:fill="auto"/>
            <w:vAlign w:val="center"/>
          </w:tcPr>
          <w:p>
            <w:pPr>
              <w:jc w:val="right"/>
              <w:rPr>
                <w:rFonts w:hint="eastAsia" w:ascii="宋体" w:hAnsi="宋体" w:eastAsia="宋体" w:cs="宋体"/>
                <w:i w:val="0"/>
                <w:color w:val="000000"/>
                <w:sz w:val="20"/>
                <w:szCs w:val="20"/>
                <w:u w:val="none"/>
                <w:lang w:val="en-US" w:eastAsia="zh-CN"/>
              </w:rPr>
            </w:pPr>
          </w:p>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0"/>
                <w:szCs w:val="20"/>
              </w:rPr>
              <w:t>株洲市石峰区司法局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资金总额：524.31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按收入性质分</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其中：一般公共预算拨款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524.31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其中：基本支出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402.31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项目支出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440"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部门职责概述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年度重点       工作计划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责任单位/科室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仿宋_GB2312" w:hAnsi="仿宋_GB2312" w:eastAsia="仿宋_GB2312" w:cs="仿宋_GB2312"/>
                <w:color w:val="000000"/>
                <w:sz w:val="20"/>
                <w:szCs w:val="20"/>
                <w:lang w:eastAsia="zh-CN"/>
              </w:rPr>
              <w:t>依法治区、普法宣传</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仿宋_GB2312" w:hAnsi="仿宋_GB2312" w:eastAsia="仿宋_GB2312" w:cs="仿宋_GB2312"/>
                <w:sz w:val="20"/>
                <w:szCs w:val="20"/>
              </w:rPr>
              <w:t>办公室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color w:val="000000"/>
                <w:sz w:val="20"/>
                <w:szCs w:val="20"/>
              </w:rPr>
              <w:t>1、推进依法治区和法治政府建设；2、开展全区普法宣传，组织规划“八五”普法，落实“谁执法谁普法”责任制。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仿宋_GB2312" w:hAnsi="仿宋_GB2312" w:eastAsia="仿宋_GB2312" w:cs="仿宋_GB2312"/>
                <w:color w:val="000000"/>
                <w:sz w:val="20"/>
                <w:szCs w:val="20"/>
                <w:lang w:eastAsia="zh-CN"/>
              </w:rPr>
              <w:t>行政复议与应诉、行政执法</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color w:val="000000"/>
                <w:sz w:val="20"/>
                <w:szCs w:val="20"/>
              </w:rPr>
              <w:t>法制股</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color w:val="000000"/>
                <w:sz w:val="20"/>
                <w:szCs w:val="20"/>
                <w:lang w:eastAsia="zh-CN"/>
              </w:rPr>
              <w:t>开展</w:t>
            </w:r>
            <w:r>
              <w:rPr>
                <w:rFonts w:hint="eastAsia" w:ascii="仿宋_GB2312" w:hAnsi="仿宋_GB2312" w:eastAsia="仿宋_GB2312" w:cs="仿宋_GB2312"/>
                <w:color w:val="000000"/>
                <w:sz w:val="20"/>
                <w:szCs w:val="20"/>
              </w:rPr>
              <w:t>区政府行政复议、行政赔偿和行政应诉、被行政复议案件办理及统计分析工作。</w:t>
            </w:r>
            <w:r>
              <w:rPr>
                <w:rFonts w:hint="eastAsia" w:ascii="仿宋_GB2312" w:hAnsi="仿宋_GB2312" w:eastAsia="仿宋_GB2312" w:cs="仿宋_GB2312"/>
                <w:kern w:val="0"/>
                <w:sz w:val="20"/>
                <w:szCs w:val="20"/>
              </w:rPr>
              <w:t>落实行政执法“三项制度”，严格规范行政执法，加强行政执法案卷评查，进一步提高行政执法水平；强化依法治区工作的督查考核，进一步完善依法行政督查考核制度。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0"/>
                <w:szCs w:val="20"/>
                <w:lang w:eastAsia="zh-CN"/>
              </w:rPr>
              <w:t>人民调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color w:val="000000"/>
                <w:sz w:val="20"/>
                <w:szCs w:val="20"/>
              </w:rPr>
              <w:t>人民参与和促进法治股</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kern w:val="0"/>
                <w:sz w:val="20"/>
                <w:szCs w:val="20"/>
              </w:rPr>
              <w:t>进一步推广使用“石峰和事佬”APP，积极开展重点领域矛盾纠纷排查调处工作，及时化解专业领域的矛盾纠纷，同时，开展人民调解员培训工作，提高依法调解的效力。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kern w:val="0"/>
                <w:sz w:val="20"/>
                <w:szCs w:val="20"/>
                <w:lang w:eastAsia="zh-CN"/>
              </w:rPr>
              <w:t>社区矫正、法律援助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color w:val="000000"/>
                <w:sz w:val="20"/>
                <w:szCs w:val="20"/>
              </w:rPr>
              <w:t>社区矫正和公共法律服务管理股</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color="auto" w:fill="FFFFFF"/>
              <w:snapToGrid w:val="0"/>
              <w:jc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kern w:val="0"/>
                <w:sz w:val="20"/>
                <w:szCs w:val="20"/>
              </w:rPr>
              <w:t>全面加强对社区矫正人员的管理，建立与家庭齐抓共管机制；进一步推进刑罚执行一体化建设，强化督查；健全刑满释放人员的管理教育帮扶机制，加强日常排查走访。对困难群众实施法律援助360件。</w:t>
            </w:r>
            <w:r>
              <w:rPr>
                <w:rFonts w:hint="eastAsia" w:ascii="仿宋_GB2312" w:hAnsi="仿宋_GB2312" w:eastAsia="仿宋_GB2312" w:cs="仿宋_GB2312"/>
                <w:kern w:val="0"/>
                <w:sz w:val="20"/>
                <w:szCs w:val="20"/>
                <w:lang w:eastAsia="zh-CN"/>
              </w:rPr>
              <w:t>开展一村（社区）一法律顾问工作。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5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910"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4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指标值及单位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rPr>
              <w:t>完成法律援助案件</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400</w:t>
            </w:r>
            <w:r>
              <w:rPr>
                <w:rFonts w:hint="eastAsia" w:ascii="仿宋_GB2312" w:hAnsi="仿宋_GB2312" w:eastAsia="仿宋_GB2312" w:cs="仿宋_GB2312"/>
                <w:color w:val="000000"/>
                <w:sz w:val="20"/>
                <w:szCs w:val="20"/>
                <w:lang w:eastAsia="zh-CN"/>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eastAsia="zh-CN"/>
              </w:rPr>
              <w:t>预算资金使用率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eastAsia="zh-CN"/>
              </w:rPr>
              <w:t>工作及时完成率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eastAsia="zh-CN"/>
              </w:rPr>
              <w:t>不超过预算</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≦524.31万元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eastAsia="zh-CN"/>
              </w:rPr>
              <w:t>无直接经济效益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eastAsia="zh-CN"/>
              </w:rPr>
              <w:t>无直接经济效益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eastAsia="zh-CN"/>
              </w:rPr>
              <w:t>促进法治石峰平安石峰建设</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持续做好依法治区、法治政府建设、促进依法行政、持续开展法治宣传、做好人民调解、法律援助工作</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无直接生态效益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构建法治石峰、和谐石峰</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产生良好持续影响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eastAsia="zh-CN"/>
              </w:rPr>
              <w:t>提高社会公众对司法行政的认可和满意度</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8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4"/>
          <w:szCs w:val="24"/>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 xml:space="preserve">           </w:t>
      </w:r>
    </w:p>
    <w:tbl>
      <w:tblPr>
        <w:tblStyle w:val="2"/>
        <w:tblW w:w="8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2055"/>
        <w:gridCol w:w="1785"/>
        <w:gridCol w:w="190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775" w:type="dxa"/>
            <w:gridSpan w:val="2"/>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br w:type="page"/>
            </w:r>
            <w:r>
              <w:rPr>
                <w:rFonts w:hint="eastAsia" w:ascii="黑体" w:hAnsi="宋体" w:eastAsia="黑体" w:cs="黑体"/>
                <w:i w:val="0"/>
                <w:color w:val="000000"/>
                <w:kern w:val="0"/>
                <w:sz w:val="24"/>
                <w:szCs w:val="24"/>
                <w:u w:val="none"/>
                <w:lang w:val="en-US" w:eastAsia="zh-CN" w:bidi="ar"/>
              </w:rPr>
              <w:t>附表2</w:t>
            </w:r>
          </w:p>
        </w:tc>
        <w:tc>
          <w:tcPr>
            <w:tcW w:w="1785" w:type="dxa"/>
            <w:shd w:val="clear" w:color="auto" w:fill="auto"/>
            <w:vAlign w:val="bottom"/>
          </w:tcPr>
          <w:p>
            <w:pPr>
              <w:rPr>
                <w:rFonts w:hint="eastAsia" w:ascii="宋体" w:hAnsi="宋体" w:eastAsia="宋体" w:cs="宋体"/>
                <w:i w:val="0"/>
                <w:color w:val="000000"/>
                <w:sz w:val="18"/>
                <w:szCs w:val="18"/>
                <w:u w:val="none"/>
              </w:rPr>
            </w:pPr>
          </w:p>
        </w:tc>
        <w:tc>
          <w:tcPr>
            <w:tcW w:w="1905" w:type="dxa"/>
            <w:shd w:val="clear" w:color="auto" w:fill="auto"/>
            <w:vAlign w:val="bottom"/>
          </w:tcPr>
          <w:p>
            <w:pPr>
              <w:rPr>
                <w:rFonts w:hint="eastAsia" w:ascii="宋体" w:hAnsi="宋体" w:eastAsia="宋体" w:cs="宋体"/>
                <w:i w:val="0"/>
                <w:color w:val="000000"/>
                <w:sz w:val="18"/>
                <w:szCs w:val="18"/>
                <w:u w:val="none"/>
              </w:rPr>
            </w:pPr>
          </w:p>
        </w:tc>
        <w:tc>
          <w:tcPr>
            <w:tcW w:w="2025"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1" w:hRule="atLeast"/>
        </w:trPr>
        <w:tc>
          <w:tcPr>
            <w:tcW w:w="8490"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2023年区级专项资金绩效目标汇总表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2775" w:type="dxa"/>
            <w:gridSpan w:val="2"/>
            <w:shd w:val="clear" w:color="auto" w:fill="auto"/>
            <w:vAlign w:val="bottom"/>
          </w:tcPr>
          <w:p>
            <w:pPr>
              <w:jc w:val="left"/>
              <w:rPr>
                <w:rFonts w:hint="eastAsia" w:ascii="楷体" w:hAnsi="楷体" w:eastAsia="楷体" w:cs="楷体"/>
                <w:i w:val="0"/>
                <w:color w:val="000000"/>
                <w:sz w:val="24"/>
                <w:szCs w:val="24"/>
                <w:u w:val="none"/>
                <w:lang w:val="en-US" w:eastAsia="zh-CN"/>
              </w:rPr>
            </w:pPr>
            <w:r>
              <w:rPr>
                <w:rFonts w:hint="eastAsia" w:ascii="宋体" w:hAnsi="宋体" w:eastAsia="宋体" w:cs="宋体"/>
                <w:i w:val="0"/>
                <w:color w:val="000000"/>
                <w:kern w:val="0"/>
                <w:sz w:val="20"/>
                <w:szCs w:val="20"/>
                <w:u w:val="none"/>
                <w:lang w:val="en-US" w:eastAsia="zh-CN" w:bidi="ar"/>
              </w:rPr>
              <w:t>填报单位：（盖章）</w:t>
            </w:r>
          </w:p>
        </w:tc>
        <w:tc>
          <w:tcPr>
            <w:tcW w:w="1785" w:type="dxa"/>
            <w:shd w:val="clear" w:color="auto" w:fill="auto"/>
            <w:vAlign w:val="bottom"/>
          </w:tcPr>
          <w:p>
            <w:pPr>
              <w:jc w:val="left"/>
              <w:rPr>
                <w:rFonts w:hint="eastAsia" w:ascii="楷体" w:hAnsi="楷体" w:eastAsia="楷体" w:cs="楷体"/>
                <w:i w:val="0"/>
                <w:color w:val="000000"/>
                <w:sz w:val="24"/>
                <w:szCs w:val="24"/>
                <w:u w:val="none"/>
              </w:rPr>
            </w:pPr>
          </w:p>
        </w:tc>
        <w:tc>
          <w:tcPr>
            <w:tcW w:w="1905" w:type="dxa"/>
            <w:shd w:val="clear" w:color="auto" w:fill="auto"/>
            <w:vAlign w:val="bottom"/>
          </w:tcPr>
          <w:p>
            <w:pPr>
              <w:jc w:val="left"/>
              <w:rPr>
                <w:rFonts w:hint="eastAsia" w:ascii="楷体" w:hAnsi="楷体" w:eastAsia="楷体" w:cs="楷体"/>
                <w:i w:val="0"/>
                <w:color w:val="000000"/>
                <w:sz w:val="24"/>
                <w:szCs w:val="24"/>
                <w:u w:val="none"/>
              </w:rPr>
            </w:pPr>
          </w:p>
        </w:tc>
        <w:tc>
          <w:tcPr>
            <w:tcW w:w="2025" w:type="dxa"/>
            <w:shd w:val="clear" w:color="auto" w:fill="auto"/>
            <w:vAlign w:val="bottom"/>
          </w:tcPr>
          <w:p>
            <w:pPr>
              <w:keepNext w:val="0"/>
              <w:keepLines w:val="0"/>
              <w:widowControl/>
              <w:suppressLineNumbers w:val="0"/>
              <w:ind w:firstLine="400" w:firstLineChars="200"/>
              <w:jc w:val="left"/>
              <w:textAlignment w:val="bottom"/>
              <w:rPr>
                <w:rFonts w:hint="eastAsia" w:ascii="楷体" w:hAnsi="楷体" w:eastAsia="楷体" w:cs="楷体"/>
                <w:i w:val="0"/>
                <w:color w:val="000000"/>
                <w:sz w:val="24"/>
                <w:szCs w:val="24"/>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名  称</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  额</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实施期绩效目标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Calibri" w:hAnsi="Calibri" w:eastAsia="宋体" w:cs="Calibri"/>
                <w:i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w:t>
            </w:r>
            <w:r>
              <w:rPr>
                <w:rStyle w:val="4"/>
                <w:rFonts w:eastAsia="宋体"/>
                <w:lang w:val="en-US" w:eastAsia="zh-CN" w:bidi="ar"/>
              </w:rPr>
              <w:t xml:space="preserve">  </w:t>
            </w:r>
            <w:r>
              <w:rPr>
                <w:rStyle w:val="5"/>
                <w:lang w:val="en-US" w:eastAsia="zh-CN" w:bidi="ar"/>
              </w:rPr>
              <w:t>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0"/>
                <w:szCs w:val="20"/>
                <w:lang w:eastAsia="zh-CN"/>
              </w:rPr>
              <w:t>业务性专项经费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仿宋_GB2312" w:hAnsi="仿宋_GB2312" w:eastAsia="仿宋_GB2312" w:cs="仿宋_GB2312"/>
                <w:kern w:val="0"/>
                <w:sz w:val="20"/>
                <w:szCs w:val="20"/>
              </w:rPr>
              <w:t>全面加强对社区矫</w:t>
            </w:r>
            <w:r>
              <w:rPr>
                <w:rFonts w:hint="eastAsia" w:ascii="仿宋_GB2312" w:hAnsi="仿宋_GB2312" w:eastAsia="仿宋_GB2312" w:cs="仿宋_GB2312"/>
                <w:kern w:val="0"/>
                <w:sz w:val="20"/>
                <w:szCs w:val="20"/>
                <w:lang w:eastAsia="zh-CN"/>
              </w:rPr>
              <w:t>正对象和安置帮教人员</w:t>
            </w:r>
            <w:r>
              <w:rPr>
                <w:rFonts w:hint="eastAsia" w:ascii="仿宋_GB2312" w:hAnsi="仿宋_GB2312" w:eastAsia="仿宋_GB2312" w:cs="仿宋_GB2312"/>
                <w:kern w:val="0"/>
                <w:sz w:val="20"/>
                <w:szCs w:val="20"/>
              </w:rPr>
              <w:t>的管理</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对困难群众实施法律援助</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color w:val="000000"/>
                <w:sz w:val="20"/>
                <w:szCs w:val="20"/>
              </w:rPr>
              <w:t>开展全区普法宣传，组织规划“八五”普法，落实“谁执法谁普法”责任制</w:t>
            </w:r>
            <w:r>
              <w:rPr>
                <w:rFonts w:hint="eastAsia" w:ascii="仿宋_GB2312" w:hAnsi="仿宋_GB2312" w:eastAsia="仿宋_GB2312" w:cs="仿宋_GB2312"/>
                <w:kern w:val="0"/>
                <w:sz w:val="20"/>
                <w:szCs w:val="20"/>
              </w:rPr>
              <w:t>落实行政执法“三项制度”，严格规范行政执法，加强行政执法案卷评查，进一步提高行政执法水平；进一步完善依法行政督查考核制度。</w:t>
            </w:r>
            <w:r>
              <w:rPr>
                <w:rFonts w:hint="eastAsia" w:ascii="仿宋_GB2312" w:hAnsi="仿宋_GB2312" w:eastAsia="仿宋_GB2312" w:cs="仿宋_GB2312"/>
                <w:color w:val="000000"/>
                <w:sz w:val="20"/>
                <w:szCs w:val="20"/>
              </w:rPr>
              <w:t>。</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仿宋_GB2312" w:hAnsi="仿宋_GB2312" w:eastAsia="仿宋_GB2312" w:cs="仿宋_GB2312"/>
                <w:kern w:val="0"/>
                <w:sz w:val="20"/>
                <w:szCs w:val="20"/>
              </w:rPr>
              <w:t>建立与家庭齐抓共管机制；进一步推进刑罚执行一体化建设，强化督查；健全刑满释放人员的管理教育帮扶机制，加强日常排查走访。对困难群众实施法律援助360件。</w:t>
            </w:r>
            <w:r>
              <w:rPr>
                <w:rFonts w:hint="eastAsia" w:ascii="仿宋_GB2312" w:hAnsi="仿宋_GB2312" w:eastAsia="仿宋_GB2312" w:cs="仿宋_GB2312"/>
                <w:color w:val="000000"/>
                <w:sz w:val="20"/>
                <w:szCs w:val="20"/>
                <w:lang w:eastAsia="zh-CN"/>
              </w:rPr>
              <w:t>按照上级要求完成年度各项工作任务。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0"/>
                <w:szCs w:val="20"/>
                <w:u w:val="none"/>
                <w:lang w:val="en-US" w:eastAsia="zh-CN"/>
              </w:rPr>
            </w:pPr>
            <w:r>
              <w:rPr>
                <w:rFonts w:hint="eastAsia" w:ascii="Times New Roman" w:hAnsi="Times New Roman" w:eastAsia="宋体" w:cs="Times New Roman"/>
                <w:i w:val="0"/>
                <w:color w:val="000000"/>
                <w:sz w:val="20"/>
                <w:szCs w:val="20"/>
                <w:u w:val="none"/>
                <w:lang w:val="en-US" w:eastAsia="zh-CN"/>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仿宋_GB2312" w:hAnsi="仿宋_GB2312" w:eastAsia="仿宋_GB2312" w:cs="仿宋_GB2312"/>
                <w:color w:val="000000"/>
                <w:sz w:val="18"/>
                <w:szCs w:val="18"/>
              </w:rPr>
              <w:t>社区矫正和安置帮教</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12.9</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仿宋_GB2312" w:hAnsi="仿宋_GB2312" w:eastAsia="仿宋_GB2312" w:cs="仿宋_GB2312"/>
                <w:color w:val="000000"/>
                <w:sz w:val="18"/>
                <w:szCs w:val="18"/>
              </w:rPr>
              <w:t>社区矫正和安置帮教：扎实做好安置帮教、社区矫正工作，有效防止特殊人群脱漏管和重新犯罪，保障社会安全稳定。</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eastAsia="仿宋_GB2312"/>
                <w:color w:val="000000"/>
                <w:kern w:val="0"/>
                <w:szCs w:val="21"/>
              </w:rPr>
              <w:t>强化特殊人群管控，“三大行动”行动开展不折不扣。扎实做好安置帮教、社区矫正工作，深入开展扫黑除恶专项斗争。今年以来，全区累计接收社区矫正对象46人，累计解除社区矫正对象83人，目前在矫人员88人，无脱漏管。新增刑满释放人员39人，衔接39人，衔接率100%，帮教率100%。未发现有社矫对象涉黑涉恶情况。开展“大摸排、大化解、大整治”活动，多头联动集中开展矛盾纠纷排查调处工作,强化措施从源头上做好社区服刑人员和刑释解教人员管控工作,走访两类人员370余人次，对重点人员逐个落实不留死角，做到基本情况清、社会关系清、现实表现清、活动去向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0"/>
                <w:szCs w:val="20"/>
                <w:u w:val="none"/>
                <w:lang w:val="en-US" w:eastAsia="zh-CN"/>
              </w:rPr>
            </w:pPr>
            <w:r>
              <w:rPr>
                <w:rFonts w:hint="eastAsia" w:ascii="Times New Roman" w:hAnsi="Times New Roman" w:eastAsia="宋体" w:cs="Times New Roman"/>
                <w:i w:val="0"/>
                <w:color w:val="000000"/>
                <w:sz w:val="20"/>
                <w:szCs w:val="20"/>
                <w:u w:val="none"/>
                <w:lang w:val="en-US" w:eastAsia="zh-CN"/>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eastAsia="仿宋_GB2312"/>
                <w:color w:val="000000"/>
                <w:kern w:val="0"/>
                <w:szCs w:val="21"/>
                <w:lang w:eastAsia="zh-CN"/>
              </w:rPr>
              <w:t>公共法律服务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21"/>
                <w:szCs w:val="21"/>
                <w:u w:val="none"/>
                <w:lang w:val="en-US" w:eastAsia="zh-CN"/>
              </w:rPr>
            </w:pPr>
            <w:r>
              <w:rPr>
                <w:rFonts w:hint="eastAsia" w:ascii="Calibri" w:hAnsi="Calibri" w:eastAsia="宋体" w:cs="Calibri"/>
                <w:i w:val="0"/>
                <w:color w:val="000000"/>
                <w:sz w:val="21"/>
                <w:szCs w:val="21"/>
                <w:u w:val="none"/>
                <w:lang w:val="en-US" w:eastAsia="zh-CN"/>
              </w:rPr>
              <w:t>9.6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hint="eastAsia" w:eastAsia="仿宋_GB2312"/>
                <w:color w:val="000000"/>
                <w:kern w:val="0"/>
                <w:szCs w:val="21"/>
              </w:rPr>
              <w:t>开展法律援助，营造良好的法治秩序。</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hint="eastAsia" w:eastAsia="仿宋_GB2312"/>
                <w:color w:val="000000"/>
                <w:kern w:val="0"/>
                <w:sz w:val="18"/>
                <w:szCs w:val="18"/>
              </w:rPr>
              <w:t>开展流动法律服务宣传80余次，到各社区（村）开展法治大讲堂15场次，发放宣传资料100000余份，为20家企业提供“法治体检”，组织,全区105个行政事业单位（含二级机构）2200名国家工作人员参加学法考试，参学率、参考率、考试合格率均为100%。扎实推进基层民主法治建设，助推各社区（村）组织机构、制度的建设和完善，提升民主法治化管理水平，清水塘街道湘天桥社区和铜塘湾街道丁山社区申报全市“民主法治示范村（社区）”。清水塘街道大冲村获“第八批全国民主法治示范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矛盾调解专项经费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21"/>
                <w:szCs w:val="21"/>
                <w:u w:val="none"/>
                <w:lang w:val="en-US" w:eastAsia="zh-CN"/>
              </w:rPr>
            </w:pPr>
            <w:r>
              <w:rPr>
                <w:rFonts w:hint="eastAsia" w:ascii="Calibri" w:hAnsi="Calibri" w:eastAsia="宋体" w:cs="Calibri"/>
                <w:i w:val="0"/>
                <w:color w:val="000000"/>
                <w:sz w:val="21"/>
                <w:szCs w:val="21"/>
                <w:u w:val="none"/>
                <w:lang w:val="en-US" w:eastAsia="zh-CN"/>
              </w:rPr>
              <w:t>90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hint="eastAsia" w:eastAsia="仿宋_GB2312"/>
                <w:color w:val="000000"/>
                <w:kern w:val="0"/>
                <w:szCs w:val="21"/>
              </w:rPr>
              <w:t>公共法律服务：强化普法宣传教育，营造浓厚的法治氛围。注重化解各类矛盾纠纷，提升人民调解规范化水平。开展法律援助，营造良好的法治秩序。</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hint="eastAsia" w:eastAsia="仿宋_GB2312"/>
                <w:color w:val="000000"/>
                <w:kern w:val="0"/>
                <w:sz w:val="18"/>
                <w:szCs w:val="18"/>
              </w:rPr>
              <w:t>一是创新开展网上矛盾纠纷调解。我局着力打造“互联网+矛盾纠纷调解”，推进矛盾纠纷线上化解。依托区级网络平台“欣石峰”app，成功打造了石峰和事佬平台，实现了“统一受理申请、统一分类派单、统一审核认定、统一绩效考核、统一汇总归档”五统一矛盾调解功能，激活了网络“共建共治共享”的社会参与，打通了人民调解与人民群众的最后一公里。二是服务疫情防控，公共法律服务开展如火如荼。积极参与疫情防控工作，配合社区对责任区域居民共4083户10413人进行地毯式排查和防疫值守，做好“六稳六保”工作，开展法治宣传、矛盾纠纷调解和温暖企业专项法律服务行动，助推企业复工复产。扎实推进人民调解和法律援助两项民生“100工程”，成立区网上调解联席会议，组建13个调解专项组，各级调解组织共调处矛盾纠纷460起，受理法援案件359件。不断深化“法律六进”活动，圆满完成“七五”普法验收工作，开展流动法律服务宣传80余次，到各社区（村）开展法治大讲堂15场次，发放宣传资料100000余份，为20家企业提供“法治体检”，组织,全区105个行政事业单位（含二级机构）2200名国家工作人员参加学法考试，参学率、参考率、考试合格率均为100%。扎实推进基层民主法治建设，助推各社区（村）组织机构、制度的建设和完善，提升民主法治化管理水平，清水塘街道湘天桥社区和铜塘湾街道丁山社区申报全市“民主法治示范村（社区）”。清水塘街道大冲村获“第八批全国民主法治示范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18"/>
                <w:szCs w:val="18"/>
              </w:rPr>
              <w:t>依法治区工作</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21"/>
                <w:szCs w:val="21"/>
                <w:u w:val="none"/>
                <w:lang w:val="en-US" w:eastAsia="zh-CN"/>
              </w:rPr>
            </w:pPr>
            <w:r>
              <w:rPr>
                <w:rFonts w:hint="eastAsia" w:ascii="Calibri" w:hAnsi="Calibri" w:eastAsia="宋体" w:cs="Calibri"/>
                <w:i w:val="0"/>
                <w:color w:val="000000"/>
                <w:sz w:val="21"/>
                <w:szCs w:val="21"/>
                <w:u w:val="none"/>
                <w:lang w:val="en-US" w:eastAsia="zh-CN"/>
              </w:rPr>
              <w:t>9.5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hint="eastAsia" w:ascii="仿宋_GB2312" w:hAnsi="仿宋_GB2312" w:eastAsia="仿宋_GB2312" w:cs="仿宋_GB2312"/>
                <w:color w:val="000000"/>
                <w:sz w:val="18"/>
                <w:szCs w:val="18"/>
              </w:rPr>
              <w:t>依法治区工作：提高依法行政、依法办事、依法管理水平，提升行政执法人员法律素质，加强执法监督，努力提升全社会法制意识。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hint="eastAsia" w:eastAsia="仿宋_GB2312"/>
                <w:color w:val="000000"/>
                <w:kern w:val="0"/>
                <w:sz w:val="18"/>
                <w:szCs w:val="18"/>
              </w:rPr>
              <w:t>一是建立健全行政应诉体制机制。8月份出台《株洲市石峰区行政应诉工作规定》，建立行政应诉责任单位制度、行政机关法定代表人第一责任人制度、工作考核制度、行政应诉过错责任追究制度等四项制度，明确行政应诉主体责任，有效规范行政诉讼行为，不断提高全区行政应诉能力、降低行政诉讼败诉率。共收到行政诉讼案件34件，召开案件应诉讨论会34次，出庭应诉34次,胜诉率86.1%，与上年相比，2020年我区行政诉讼案件总数大幅下降。收到行政复议1件，已依法撤销被复议单位的行政处罚决定并责令其重新作出行政处罚决定。二是立足全面依法治区，依法行政工作开展出新出彩。区委全面依法治区委员会第二次（扩大）会议，明确将依法行政工作纳入区五问工作法和年度绩效考核范围，有力规范公正文明执法。区委全面依法治区委员会守法普法协调小组、执法协调小组分别召开第一次会议。严格审核权责清单，加强政府合同、规范性文件合法性审查和管理，依法对13份政府合同、8份规范性文件进行合法性审查，对全区规范性文件进行3次专项清理行动。依照法定程序续聘一星律师事务所为区政府法律顾问单位，为全区59个党委、群团部门、行政机关、事业单位提供法律服务，实现法律顾问全覆盖。针对辖区内行政执法单位创新开展行政执法督查和案卷评查工作4次。推动出台《关于加强法治乡村建设的实施方案》，我区向上级申报推荐法治政府建设示范项目3个，即区政府申报“湖南省法治政府建设示范区”和“湖南省基层社会治理新示范区”、公安局石峰分局申报“湖南省法治政府建设示范单位”，其中，“湖南省基层社会治理新示范区”已通过市级初审。创新依法行政工作考核，将行政决策程序、行政应诉责任落实、谁执法谁普法责任制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hint="default" w:ascii="宋体" w:hAnsi="宋体" w:eastAsia="宋体" w:cs="宋体"/>
                <w:i w:val="0"/>
                <w:color w:val="000000"/>
                <w:kern w:val="0"/>
                <w:sz w:val="20"/>
                <w:szCs w:val="20"/>
                <w:u w:val="none"/>
                <w:lang w:val="en-US" w:eastAsia="zh-CN" w:bidi="ar"/>
              </w:rPr>
              <w:t>单位负责人签字：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90" w:type="dxa"/>
            <w:gridSpan w:val="5"/>
            <w:shd w:val="clear" w:color="auto" w:fill="auto"/>
            <w:vAlign w:val="bottom"/>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 xml:space="preserve">            </w:t>
            </w:r>
          </w:p>
        </w:tc>
      </w:tr>
    </w:tbl>
    <w:p>
      <w:r>
        <w:br w:type="page"/>
      </w:r>
    </w:p>
    <w:tbl>
      <w:tblPr>
        <w:tblStyle w:val="2"/>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18"/>
                <w:szCs w:val="18"/>
              </w:rPr>
              <w:t>社区矫正和安置帮教</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0"/>
                <w:szCs w:val="20"/>
                <w:lang w:eastAsia="zh-CN"/>
              </w:rPr>
              <w:t>业务性专项经费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12.9</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仿宋_GB2312" w:hAnsi="仿宋_GB2312" w:eastAsia="仿宋_GB2312" w:cs="仿宋_GB2312"/>
                <w:kern w:val="0"/>
                <w:sz w:val="20"/>
                <w:szCs w:val="20"/>
              </w:rPr>
              <w:t>全面加强对社区矫</w:t>
            </w:r>
            <w:r>
              <w:rPr>
                <w:rFonts w:hint="eastAsia" w:ascii="仿宋_GB2312" w:hAnsi="仿宋_GB2312" w:eastAsia="仿宋_GB2312" w:cs="仿宋_GB2312"/>
                <w:kern w:val="0"/>
                <w:sz w:val="20"/>
                <w:szCs w:val="20"/>
                <w:lang w:eastAsia="zh-CN"/>
              </w:rPr>
              <w:t>正对象和安置帮教人员</w:t>
            </w:r>
            <w:r>
              <w:rPr>
                <w:rFonts w:hint="eastAsia" w:ascii="仿宋_GB2312" w:hAnsi="仿宋_GB2312" w:eastAsia="仿宋_GB2312" w:cs="仿宋_GB2312"/>
                <w:kern w:val="0"/>
                <w:sz w:val="20"/>
                <w:szCs w:val="20"/>
              </w:rPr>
              <w:t>的管理</w:t>
            </w:r>
            <w:r>
              <w:rPr>
                <w:rFonts w:hint="eastAsia" w:ascii="仿宋_GB2312" w:hAnsi="仿宋_GB2312" w:eastAsia="仿宋_GB2312" w:cs="仿宋_GB2312"/>
                <w:kern w:val="0"/>
                <w:sz w:val="20"/>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18"/>
                <w:szCs w:val="18"/>
              </w:rPr>
              <w:t>社区矫正和安置帮教：扎实做好安置帮教、社区矫正工作，有效防止特殊人群脱漏管和重新犯罪，保障社会安全稳定。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1"/>
                <w:szCs w:val="21"/>
                <w:u w:val="none"/>
                <w:lang w:val="en-US" w:eastAsia="zh-CN" w:bidi="ar"/>
              </w:rPr>
              <w:t>社区矫正对象（≥，人）</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1"/>
                <w:szCs w:val="21"/>
                <w:u w:val="none"/>
                <w:lang w:val="en-US" w:eastAsia="zh-CN" w:bidi="ar"/>
              </w:rPr>
              <w:t>88人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1"/>
                <w:szCs w:val="21"/>
                <w:u w:val="none"/>
                <w:lang w:val="en-US" w:eastAsia="zh-CN" w:bidi="ar"/>
              </w:rPr>
              <w:t>88人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1"/>
                <w:szCs w:val="21"/>
                <w:u w:val="none"/>
                <w:lang w:val="en-US" w:eastAsia="zh-CN" w:bidi="ar"/>
              </w:rPr>
              <w:t>安置帮教、信息核实率、网上衔接率、预释放回执率（≥，%）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1"/>
                <w:szCs w:val="21"/>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kern w:val="0"/>
                <w:sz w:val="21"/>
                <w:szCs w:val="21"/>
                <w:lang w:eastAsia="zh-CN"/>
              </w:rPr>
              <w:t>各项工作完成时限</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kern w:val="0"/>
                <w:sz w:val="21"/>
                <w:szCs w:val="21"/>
                <w:lang w:eastAsia="zh-CN"/>
              </w:rPr>
              <w:t>社区矫正社会购买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kern w:val="0"/>
                <w:sz w:val="21"/>
                <w:szCs w:val="21"/>
                <w:lang w:val="en-US" w:eastAsia="zh-CN"/>
              </w:rPr>
              <w:t>8个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kern w:val="0"/>
                <w:sz w:val="21"/>
                <w:szCs w:val="21"/>
                <w:lang w:eastAsia="zh-CN"/>
              </w:rPr>
              <w:t>拨付完成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1"/>
                <w:szCs w:val="21"/>
                <w:u w:val="none"/>
                <w:lang w:val="en-US" w:eastAsia="zh-CN" w:bidi="ar"/>
              </w:rPr>
              <w:t>社区服刑人员电子监管率（≥，%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仿宋_GB2312" w:cs="宋体"/>
                <w:i w:val="0"/>
                <w:color w:val="000000"/>
                <w:sz w:val="20"/>
                <w:szCs w:val="20"/>
                <w:u w:val="none"/>
                <w:lang w:val="en-US" w:eastAsia="zh-CN"/>
              </w:rPr>
            </w:pPr>
            <w:r>
              <w:rPr>
                <w:rFonts w:hint="eastAsia" w:ascii="仿宋_GB2312" w:hAnsi="仿宋_GB2312" w:eastAsia="仿宋_GB2312" w:cs="仿宋_GB2312"/>
                <w:color w:val="000000"/>
                <w:kern w:val="0"/>
                <w:sz w:val="21"/>
                <w:szCs w:val="21"/>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rPr>
            </w:pPr>
            <w:r>
              <w:rPr>
                <w:rFonts w:hint="eastAsia" w:ascii="仿宋_GB2312" w:hAnsi="仿宋_GB2312" w:eastAsia="仿宋_GB2312" w:cs="仿宋_GB2312"/>
                <w:color w:val="000000"/>
                <w:kern w:val="0"/>
                <w:sz w:val="21"/>
                <w:szCs w:val="21"/>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1"/>
                <w:szCs w:val="21"/>
                <w:lang w:eastAsia="zh-CN"/>
              </w:rPr>
              <w:t>促进全民意识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kern w:val="0"/>
                <w:sz w:val="21"/>
                <w:szCs w:val="21"/>
                <w:lang w:eastAsia="zh-CN"/>
              </w:rPr>
              <w:t>不断提高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kern w:val="0"/>
                <w:sz w:val="21"/>
                <w:szCs w:val="21"/>
                <w:lang w:eastAsia="zh-CN"/>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1"/>
                <w:szCs w:val="21"/>
                <w:u w:val="none"/>
                <w:lang w:val="en-US" w:eastAsia="zh-CN" w:bidi="ar"/>
              </w:rPr>
              <w:t>社区服刑人员个案矫正率（≥，%）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1"/>
                <w:szCs w:val="21"/>
                <w:u w:val="none"/>
                <w:lang w:val="en-US" w:eastAsia="zh-CN" w:bidi="ar"/>
              </w:rPr>
              <w:t>安置帮教、</w:t>
            </w:r>
            <w:r>
              <w:rPr>
                <w:rFonts w:hint="eastAsia" w:ascii="仿宋_GB2312" w:hAnsi="仿宋_GB2312" w:eastAsia="仿宋_GB2312" w:cs="仿宋_GB2312"/>
                <w:color w:val="000000"/>
                <w:kern w:val="0"/>
                <w:sz w:val="21"/>
                <w:szCs w:val="21"/>
                <w:lang w:eastAsia="zh-CN"/>
              </w:rPr>
              <w:t>矫正社会服务</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eastAsia="仿宋_GB2312"/>
                <w:color w:val="000000"/>
                <w:w w:val="90"/>
                <w:kern w:val="0"/>
                <w:szCs w:val="21"/>
                <w:lang w:eastAsia="zh-CN"/>
              </w:rPr>
              <w:t>社区矫正对象满意度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kern w:val="0"/>
                <w:sz w:val="21"/>
                <w:szCs w:val="21"/>
                <w:lang w:val="en-US" w:eastAsia="zh-CN"/>
              </w:rPr>
              <w:t>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kern w:val="0"/>
                <w:sz w:val="21"/>
                <w:szCs w:val="21"/>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仿宋_GB2312" w:hAnsi="仿宋_GB2312" w:eastAsia="仿宋_GB2312" w:cs="仿宋_GB2312"/>
                <w:color w:val="000000"/>
                <w:sz w:val="18"/>
                <w:szCs w:val="18"/>
              </w:rPr>
              <w:t>社区矫正和安置帮教</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12.9</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按实际发生支出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12.9</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《关于加强社区矫正经费保障工作的实施意见》（湘行财[2013]72号），1500元/人*86人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tbl>
      <w:tblPr>
        <w:tblStyle w:val="2"/>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eastAsia="仿宋_GB2312"/>
                <w:color w:val="000000"/>
                <w:kern w:val="0"/>
                <w:szCs w:val="21"/>
                <w:lang w:eastAsia="zh-CN"/>
              </w:rPr>
              <w:t>公共法律服务</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0"/>
                <w:szCs w:val="20"/>
                <w:lang w:eastAsia="zh-CN"/>
              </w:rPr>
              <w:t>业务性专项经费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9.6</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eastAsia="仿宋_GB2312"/>
                <w:color w:val="000000"/>
                <w:kern w:val="0"/>
                <w:szCs w:val="21"/>
              </w:rPr>
              <w:t>开展法律援助，营造良好的法治秩序。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eastAsia="仿宋_GB2312"/>
                <w:color w:val="000000"/>
                <w:kern w:val="0"/>
                <w:szCs w:val="21"/>
              </w:rPr>
              <w:t>公共法律服务：强化普法宣传教育，营造浓厚的法治氛围。注重化解各类矛盾纠纷，提升人民调解规范化水平。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1"/>
                <w:szCs w:val="21"/>
                <w:u w:val="none"/>
                <w:lang w:val="en-US" w:eastAsia="zh-CN" w:bidi="ar"/>
              </w:rPr>
              <w:t>法律援助办理案件数量（≥，件）</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400件</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1"/>
                <w:szCs w:val="21"/>
                <w:u w:val="none"/>
                <w:lang w:val="en-US" w:eastAsia="zh-CN" w:bidi="ar"/>
              </w:rPr>
              <w:t>法律援助案卷审核合格率（≥，%）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1"/>
                <w:szCs w:val="21"/>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1"/>
                <w:szCs w:val="21"/>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kern w:val="0"/>
                <w:sz w:val="21"/>
                <w:szCs w:val="21"/>
                <w:lang w:eastAsia="zh-CN"/>
              </w:rPr>
              <w:t>各项工作完成时限</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kern w:val="0"/>
                <w:sz w:val="21"/>
                <w:szCs w:val="21"/>
                <w:lang w:eastAsia="zh-CN"/>
              </w:rPr>
              <w:t>人民调解社会购买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1家</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1"/>
                <w:szCs w:val="21"/>
                <w:lang w:eastAsia="zh-CN"/>
              </w:rPr>
              <w:t>促进全民法治意识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不断提高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kern w:val="0"/>
                <w:sz w:val="21"/>
                <w:szCs w:val="21"/>
                <w:lang w:eastAsia="zh-CN"/>
              </w:rPr>
              <w:t>法律援助满意度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1"/>
                <w:szCs w:val="21"/>
                <w:u w:val="none"/>
                <w:lang w:val="en-US" w:eastAsia="zh-CN" w:bidi="ar"/>
              </w:rPr>
              <w:t>法律援助案件有效</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1"/>
                <w:szCs w:val="21"/>
                <w:lang w:eastAsia="zh-CN"/>
              </w:rPr>
              <w:t>构建和谐石峰、平安</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不断提高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kern w:val="0"/>
                <w:sz w:val="21"/>
                <w:szCs w:val="21"/>
                <w:lang w:eastAsia="zh-CN"/>
              </w:rPr>
              <w:t>法治宣传满意度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eastAsia="仿宋_GB2312"/>
                <w:color w:val="000000"/>
                <w:kern w:val="0"/>
                <w:szCs w:val="21"/>
                <w:lang w:eastAsia="zh-CN"/>
              </w:rPr>
              <w:t>公共法律服务</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9.6</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按合同执行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9.6</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tbl>
      <w:tblPr>
        <w:tblStyle w:val="2"/>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496"/>
        <w:gridCol w:w="589"/>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496" w:type="dxa"/>
            <w:shd w:val="clear" w:color="auto" w:fill="auto"/>
            <w:vAlign w:val="bottom"/>
          </w:tcPr>
          <w:p>
            <w:pPr>
              <w:rPr>
                <w:rFonts w:hint="eastAsia" w:ascii="宋体" w:hAnsi="宋体" w:eastAsia="宋体" w:cs="宋体"/>
                <w:i w:val="0"/>
                <w:color w:val="000000"/>
                <w:sz w:val="18"/>
                <w:szCs w:val="18"/>
                <w:u w:val="none"/>
              </w:rPr>
            </w:pPr>
          </w:p>
        </w:tc>
        <w:tc>
          <w:tcPr>
            <w:tcW w:w="1662"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800"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2915"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矛盾调解服务</w:t>
            </w:r>
          </w:p>
        </w:tc>
        <w:tc>
          <w:tcPr>
            <w:tcW w:w="14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矛盾调解专项经费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90</w:t>
            </w:r>
          </w:p>
        </w:tc>
        <w:tc>
          <w:tcPr>
            <w:tcW w:w="149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eastAsia="仿宋_GB2312"/>
                <w:color w:val="000000"/>
                <w:kern w:val="0"/>
                <w:szCs w:val="21"/>
              </w:rPr>
              <w:t>公共法律服务：强化普法宣传教育，营造浓厚的法治氛围。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eastAsia="仿宋_GB2312"/>
                <w:color w:val="000000"/>
                <w:kern w:val="0"/>
                <w:szCs w:val="21"/>
              </w:rPr>
              <w:t>注重化解各类矛盾纠纷，提升人民调解规范化水平。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0"/>
                <w:szCs w:val="20"/>
                <w:lang w:eastAsia="zh-CN"/>
              </w:rPr>
              <w:t>矛盾纠纷调解</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全区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0"/>
                <w:szCs w:val="20"/>
                <w:lang w:eastAsia="zh-CN"/>
              </w:rPr>
              <w:t>开展普法宣传</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0"/>
                <w:szCs w:val="20"/>
                <w:lang w:eastAsia="zh-CN"/>
              </w:rPr>
              <w:t>工作及时完成率</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0"/>
                <w:szCs w:val="20"/>
                <w:lang w:eastAsia="zh-CN"/>
              </w:rPr>
              <w:t>不超过预算</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仿宋_GB2312" w:hAnsi="仿宋_GB2312" w:eastAsia="仿宋_GB2312" w:cs="仿宋_GB2312"/>
                <w:color w:val="000000"/>
                <w:sz w:val="20"/>
                <w:szCs w:val="20"/>
                <w:lang w:val="en-US" w:eastAsia="zh-CN"/>
              </w:rPr>
              <w:t>≦90万元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0"/>
                <w:szCs w:val="20"/>
                <w:lang w:eastAsia="zh-CN"/>
              </w:rPr>
              <w:t>司法行政的认可</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服务对象满意度</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0"/>
                <w:szCs w:val="20"/>
                <w:lang w:eastAsia="zh-CN"/>
              </w:rPr>
              <w:t>提高社会公众对司法行政的认可</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kern w:val="2"/>
                <w:sz w:val="20"/>
                <w:szCs w:val="20"/>
                <w:lang w:val="en-US" w:eastAsia="zh-CN" w:bidi="ar-SA"/>
              </w:rPr>
              <w:t>法治宣传</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0"/>
                <w:szCs w:val="20"/>
                <w:lang w:eastAsia="zh-CN"/>
              </w:rPr>
              <w:t>认可和满意度</w:t>
            </w:r>
          </w:p>
        </w:tc>
        <w:tc>
          <w:tcPr>
            <w:tcW w:w="1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2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矛盾调解服务</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2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加强基层矛盾纠纷排查化解，化解信访积案累案，其中：余江南案30万，谢云案10万，庆云公司28万，响石岭信访积案12.5万。</w:t>
            </w:r>
          </w:p>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矛调中心律师、工作人员工资9.6万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2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bookmarkStart w:id="0" w:name="_GoBack"/>
      <w:bookmarkEnd w:id="0"/>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tbl>
      <w:tblPr>
        <w:tblStyle w:val="2"/>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18"/>
                <w:szCs w:val="18"/>
              </w:rPr>
              <w:t>依法治区工作</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仿宋_GB2312" w:cs="宋体"/>
                <w:i w:val="0"/>
                <w:color w:val="000000"/>
                <w:sz w:val="20"/>
                <w:szCs w:val="20"/>
                <w:u w:val="none"/>
                <w:lang w:eastAsia="zh-CN"/>
              </w:rPr>
            </w:pPr>
            <w:r>
              <w:rPr>
                <w:rFonts w:hint="eastAsia" w:ascii="仿宋_GB2312" w:hAnsi="仿宋_GB2312" w:eastAsia="仿宋_GB2312" w:cs="仿宋_GB2312"/>
                <w:color w:val="000000"/>
                <w:sz w:val="18"/>
                <w:szCs w:val="18"/>
              </w:rPr>
              <w:t>依法治区工作</w:t>
            </w:r>
            <w:r>
              <w:rPr>
                <w:rFonts w:hint="eastAsia" w:ascii="仿宋_GB2312" w:hAnsi="仿宋_GB2312" w:eastAsia="仿宋_GB2312" w:cs="仿宋_GB2312"/>
                <w:color w:val="000000"/>
                <w:sz w:val="18"/>
                <w:szCs w:val="18"/>
                <w:lang w:eastAsia="zh-CN"/>
              </w:rPr>
              <w:t>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0"/>
                <w:szCs w:val="20"/>
              </w:rPr>
              <w:t>推进依法治区和法治政府建设；</w:t>
            </w:r>
            <w:r>
              <w:rPr>
                <w:rFonts w:hint="eastAsia" w:ascii="仿宋_GB2312" w:hAnsi="仿宋_GB2312" w:eastAsia="仿宋_GB2312" w:cs="仿宋_GB2312"/>
                <w:kern w:val="0"/>
                <w:sz w:val="20"/>
                <w:szCs w:val="20"/>
              </w:rPr>
              <w:t>强化依法治区工作的督查考核</w:t>
            </w:r>
            <w:r>
              <w:rPr>
                <w:rFonts w:hint="eastAsia" w:ascii="仿宋_GB2312" w:hAnsi="仿宋_GB2312" w:eastAsia="仿宋_GB2312" w:cs="仿宋_GB2312"/>
                <w:kern w:val="0"/>
                <w:sz w:val="20"/>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仿宋_GB2312" w:hAnsi="仿宋_GB2312" w:eastAsia="仿宋_GB2312" w:cs="仿宋_GB2312"/>
                <w:kern w:val="0"/>
                <w:sz w:val="20"/>
                <w:szCs w:val="20"/>
              </w:rPr>
              <w:t>建立与家庭齐抓共管机制；进一步推进刑罚执行一体化建设，强化督查；健全刑满释放人员的管理教育帮扶机制，加强日常排查走访。对困难群众实施法律援助360件。</w:t>
            </w:r>
            <w:r>
              <w:rPr>
                <w:rFonts w:hint="eastAsia" w:ascii="仿宋_GB2312" w:hAnsi="仿宋_GB2312" w:eastAsia="仿宋_GB2312" w:cs="仿宋_GB2312"/>
                <w:color w:val="000000"/>
                <w:szCs w:val="21"/>
                <w:lang w:eastAsia="zh-CN"/>
              </w:rPr>
              <w:t>按照上级要求完成年度各项工作任务。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0"/>
                <w:szCs w:val="20"/>
                <w:lang w:eastAsia="zh-CN"/>
              </w:rPr>
              <w:t>开展依法治区（依法行政）考核</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半年一次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0"/>
                <w:szCs w:val="20"/>
                <w:lang w:eastAsia="zh-CN"/>
              </w:rPr>
              <w:t>预算资金使用率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0"/>
                <w:szCs w:val="20"/>
                <w:lang w:eastAsia="zh-CN"/>
              </w:rPr>
              <w:t>工作及时完成率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sz w:val="20"/>
                <w:szCs w:val="20"/>
                <w:lang w:eastAsia="zh-CN"/>
              </w:rPr>
              <w:t>不超过预算</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≦9.5万元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eastAsia="zh-CN"/>
              </w:rPr>
              <w:t>无直接经济效益</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eastAsia="zh-CN"/>
              </w:rPr>
              <w:t>无直接经济效益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促进法治石峰平安石峰建设</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良好</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持续做好依法治区、法治政府建设</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良好</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构建法治石峰、和谐石峰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2"/>
                <w:sz w:val="20"/>
                <w:szCs w:val="20"/>
                <w:lang w:val="en-US" w:eastAsia="zh-CN" w:bidi="ar-SA"/>
              </w:rPr>
              <w:t>良好</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eastAsia="zh-CN"/>
              </w:rPr>
              <w:t>提高社会公众对司法行政的认可和满意度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90%以上</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计划标准</w:t>
            </w:r>
            <w:r>
              <w:rPr>
                <w:rFonts w:hint="eastAsia" w:ascii="仿宋_GB2312" w:hAnsi="仿宋_GB2312" w:eastAsia="仿宋_GB2312" w:cs="仿宋_GB2312"/>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依法治区</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color w:val="000000"/>
                <w:sz w:val="20"/>
                <w:szCs w:val="20"/>
                <w:lang w:val="en" w:eastAsia="zh-CN"/>
              </w:rPr>
            </w:pPr>
            <w:r>
              <w:rPr>
                <w:rFonts w:hint="eastAsia" w:ascii="仿宋_GB2312" w:hAnsi="仿宋_GB2312" w:eastAsia="仿宋_GB2312" w:cs="仿宋_GB2312"/>
                <w:color w:val="000000"/>
                <w:sz w:val="20"/>
                <w:szCs w:val="20"/>
                <w:lang w:val="en" w:eastAsia="zh-CN"/>
              </w:rPr>
              <w:t>根据《2021年度县市区依法治市工作绩效评估细则》，依法治区工作经费需列入同级财政预算予以保障，其中：</w:t>
            </w:r>
          </w:p>
          <w:p>
            <w:pPr>
              <w:jc w:val="left"/>
              <w:rPr>
                <w:rFonts w:hint="eastAsia" w:ascii="仿宋_GB2312" w:hAnsi="仿宋_GB2312" w:eastAsia="仿宋_GB2312" w:cs="仿宋_GB2312"/>
                <w:color w:val="000000"/>
                <w:sz w:val="20"/>
                <w:szCs w:val="20"/>
                <w:lang w:val="en" w:eastAsia="zh-CN"/>
              </w:rPr>
            </w:pPr>
            <w:r>
              <w:rPr>
                <w:rFonts w:hint="eastAsia" w:ascii="仿宋_GB2312" w:hAnsi="仿宋_GB2312" w:eastAsia="仿宋_GB2312" w:cs="仿宋_GB2312"/>
                <w:color w:val="000000"/>
                <w:sz w:val="20"/>
                <w:szCs w:val="20"/>
                <w:lang w:val="en" w:eastAsia="zh-CN"/>
              </w:rPr>
              <w:t>1.保障区依法治区工作领导小组办公室的正常工作人员经费 、办公经费    5万</w:t>
            </w:r>
          </w:p>
          <w:p>
            <w:pPr>
              <w:jc w:val="left"/>
              <w:rPr>
                <w:rFonts w:hint="eastAsia" w:ascii="仿宋_GB2312" w:hAnsi="仿宋_GB2312" w:eastAsia="仿宋_GB2312" w:cs="仿宋_GB2312"/>
                <w:color w:val="000000"/>
                <w:sz w:val="20"/>
                <w:szCs w:val="20"/>
                <w:lang w:val="en" w:eastAsia="zh-CN"/>
              </w:rPr>
            </w:pPr>
            <w:r>
              <w:rPr>
                <w:rFonts w:hint="eastAsia" w:ascii="仿宋_GB2312" w:hAnsi="仿宋_GB2312" w:eastAsia="仿宋_GB2312" w:cs="仿宋_GB2312"/>
                <w:color w:val="000000"/>
                <w:sz w:val="20"/>
                <w:szCs w:val="20"/>
                <w:lang w:val="en" w:eastAsia="zh-CN"/>
              </w:rPr>
              <w:t>2.法治督察工作    0.5万</w:t>
            </w:r>
          </w:p>
          <w:p>
            <w:pPr>
              <w:jc w:val="left"/>
              <w:rPr>
                <w:rFonts w:hint="eastAsia" w:ascii="仿宋_GB2312" w:hAnsi="仿宋_GB2312" w:eastAsia="仿宋_GB2312" w:cs="仿宋_GB2312"/>
                <w:color w:val="000000"/>
                <w:sz w:val="20"/>
                <w:szCs w:val="20"/>
                <w:lang w:val="en" w:eastAsia="zh-CN"/>
              </w:rPr>
            </w:pPr>
            <w:r>
              <w:rPr>
                <w:rFonts w:hint="eastAsia" w:ascii="仿宋_GB2312" w:hAnsi="仿宋_GB2312" w:eastAsia="仿宋_GB2312" w:cs="仿宋_GB2312"/>
                <w:color w:val="000000"/>
                <w:sz w:val="20"/>
                <w:szCs w:val="20"/>
                <w:lang w:val="en" w:eastAsia="zh-CN"/>
              </w:rPr>
              <w:t>3.深化行政执法体制改革   2万</w:t>
            </w:r>
          </w:p>
          <w:p>
            <w:pPr>
              <w:jc w:val="left"/>
              <w:rPr>
                <w:rFonts w:hint="eastAsia" w:ascii="仿宋_GB2312" w:hAnsi="仿宋_GB2312" w:eastAsia="仿宋_GB2312" w:cs="仿宋_GB2312"/>
                <w:color w:val="000000"/>
                <w:sz w:val="20"/>
                <w:szCs w:val="20"/>
                <w:lang w:val="en" w:eastAsia="zh-CN"/>
              </w:rPr>
            </w:pPr>
            <w:r>
              <w:rPr>
                <w:rFonts w:hint="eastAsia" w:ascii="仿宋_GB2312" w:hAnsi="仿宋_GB2312" w:eastAsia="仿宋_GB2312" w:cs="仿宋_GB2312"/>
                <w:color w:val="000000"/>
                <w:sz w:val="20"/>
                <w:szCs w:val="20"/>
                <w:lang w:val="en" w:eastAsia="zh-CN"/>
              </w:rPr>
              <w:t>4.召开依法治区4个协调小组会议   0.5万</w:t>
            </w:r>
          </w:p>
          <w:p>
            <w:pPr>
              <w:jc w:val="left"/>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color w:val="000000"/>
                <w:sz w:val="20"/>
                <w:szCs w:val="20"/>
                <w:lang w:val="en" w:eastAsia="zh-CN"/>
              </w:rPr>
              <w:t>5.深化八五普法中期验收  1.5万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42FCF7"/>
    <w:multiLevelType w:val="singleLevel"/>
    <w:tmpl w:val="7C42FCF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2C012709"/>
    <w:rsid w:val="001B223C"/>
    <w:rsid w:val="0082459E"/>
    <w:rsid w:val="00D8393F"/>
    <w:rsid w:val="03880F71"/>
    <w:rsid w:val="04152867"/>
    <w:rsid w:val="0A011F5A"/>
    <w:rsid w:val="0A6F29BA"/>
    <w:rsid w:val="0B250B22"/>
    <w:rsid w:val="0B607388"/>
    <w:rsid w:val="0D991370"/>
    <w:rsid w:val="0FF76999"/>
    <w:rsid w:val="11560570"/>
    <w:rsid w:val="124B479E"/>
    <w:rsid w:val="13D94D2B"/>
    <w:rsid w:val="14DA31B6"/>
    <w:rsid w:val="18170EC2"/>
    <w:rsid w:val="1B2718F8"/>
    <w:rsid w:val="1BF42EDC"/>
    <w:rsid w:val="1CC30282"/>
    <w:rsid w:val="1CEB3AA0"/>
    <w:rsid w:val="1CFC48DD"/>
    <w:rsid w:val="1FC21B82"/>
    <w:rsid w:val="21AD5C13"/>
    <w:rsid w:val="240B5A00"/>
    <w:rsid w:val="24104E0C"/>
    <w:rsid w:val="2497530A"/>
    <w:rsid w:val="256A6354"/>
    <w:rsid w:val="273078C8"/>
    <w:rsid w:val="275B2D9A"/>
    <w:rsid w:val="27E306C4"/>
    <w:rsid w:val="2C012709"/>
    <w:rsid w:val="2D530D95"/>
    <w:rsid w:val="311C763D"/>
    <w:rsid w:val="33002DCF"/>
    <w:rsid w:val="35592189"/>
    <w:rsid w:val="36547960"/>
    <w:rsid w:val="371A56A6"/>
    <w:rsid w:val="37B136F2"/>
    <w:rsid w:val="399C3C4D"/>
    <w:rsid w:val="3A951934"/>
    <w:rsid w:val="3AFB3576"/>
    <w:rsid w:val="3BB67F84"/>
    <w:rsid w:val="3DA33CEE"/>
    <w:rsid w:val="3FEC0F24"/>
    <w:rsid w:val="42F76288"/>
    <w:rsid w:val="42FB288E"/>
    <w:rsid w:val="432452AB"/>
    <w:rsid w:val="435C5632"/>
    <w:rsid w:val="47237175"/>
    <w:rsid w:val="47F13561"/>
    <w:rsid w:val="4DD93745"/>
    <w:rsid w:val="4F9343FD"/>
    <w:rsid w:val="51A335F4"/>
    <w:rsid w:val="540B1856"/>
    <w:rsid w:val="542A6FA2"/>
    <w:rsid w:val="54CF6D1E"/>
    <w:rsid w:val="56DB7679"/>
    <w:rsid w:val="58B92314"/>
    <w:rsid w:val="5BFE3FCA"/>
    <w:rsid w:val="5D073736"/>
    <w:rsid w:val="5DE11544"/>
    <w:rsid w:val="5E1D6B3C"/>
    <w:rsid w:val="60AF592A"/>
    <w:rsid w:val="60E3062F"/>
    <w:rsid w:val="62673E44"/>
    <w:rsid w:val="63E1229E"/>
    <w:rsid w:val="662055DE"/>
    <w:rsid w:val="67EE0E89"/>
    <w:rsid w:val="69D91329"/>
    <w:rsid w:val="6DAF49E1"/>
    <w:rsid w:val="6DCA751C"/>
    <w:rsid w:val="6FAC163A"/>
    <w:rsid w:val="70A433AB"/>
    <w:rsid w:val="71526EBD"/>
    <w:rsid w:val="718C4570"/>
    <w:rsid w:val="72BE3F42"/>
    <w:rsid w:val="75FF25DC"/>
    <w:rsid w:val="76FA7B03"/>
    <w:rsid w:val="7996570D"/>
    <w:rsid w:val="7A5B4AC7"/>
    <w:rsid w:val="7CA750BC"/>
    <w:rsid w:val="7CC9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default" w:ascii="Times New Roman" w:hAnsi="Times New Roman" w:cs="Times New Roman"/>
      <w:b/>
      <w:color w:val="000000"/>
      <w:sz w:val="20"/>
      <w:szCs w:val="20"/>
      <w:u w:val="none"/>
    </w:rPr>
  </w:style>
  <w:style w:type="character" w:customStyle="1" w:styleId="5">
    <w:name w:val="font41"/>
    <w:basedOn w:val="3"/>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5071</Words>
  <Characters>5414</Characters>
  <Lines>0</Lines>
  <Paragraphs>0</Paragraphs>
  <TotalTime>12</TotalTime>
  <ScaleCrop>false</ScaleCrop>
  <LinksUpToDate>false</LinksUpToDate>
  <CharactersWithSpaces>5825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Administrator</cp:lastModifiedBy>
  <cp:lastPrinted>2022-03-09T02:57:00Z</cp:lastPrinted>
  <dcterms:modified xsi:type="dcterms:W3CDTF">2023-07-28T02:59:26Z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9962A78EA9E34DA8BAFA0BDBFF6019F6_13</vt:lpwstr>
  </property>
</Properties>
</file>