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醴陵市农业农村局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重大行政执法决定法制审核目录</w:t>
      </w:r>
    </w:p>
    <w:bookmarkEnd w:id="0"/>
    <w:tbl>
      <w:tblPr>
        <w:tblStyle w:val="5"/>
        <w:tblpPr w:leftFromText="180" w:rightFromText="180" w:vertAnchor="text" w:horzAnchor="page" w:tblpX="1354" w:tblpY="578"/>
        <w:tblOverlap w:val="never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500"/>
        <w:gridCol w:w="2670"/>
        <w:gridCol w:w="4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990" w:type="dxa"/>
            <w:vAlign w:val="top"/>
          </w:tcPr>
          <w:p>
            <w:pPr>
              <w:spacing w:before="154" w:line="221" w:lineRule="auto"/>
              <w:ind w:left="2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top"/>
          </w:tcPr>
          <w:p>
            <w:pPr>
              <w:spacing w:before="152" w:line="219" w:lineRule="auto"/>
              <w:ind w:left="155" w:leftChars="0" w:firstLine="65" w:firstLineChars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执法类别</w:t>
            </w:r>
          </w:p>
        </w:tc>
        <w:tc>
          <w:tcPr>
            <w:tcW w:w="2670" w:type="dxa"/>
            <w:vAlign w:val="top"/>
          </w:tcPr>
          <w:p>
            <w:pPr>
              <w:spacing w:before="153" w:line="220" w:lineRule="auto"/>
              <w:ind w:left="86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事项名称</w:t>
            </w:r>
          </w:p>
        </w:tc>
        <w:tc>
          <w:tcPr>
            <w:tcW w:w="4410" w:type="dxa"/>
            <w:vAlign w:val="top"/>
          </w:tcPr>
          <w:p>
            <w:pPr>
              <w:spacing w:before="152" w:line="219" w:lineRule="auto"/>
              <w:ind w:left="770" w:leftChars="0" w:firstLine="712" w:firstLineChars="29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法制审核内容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990" w:type="dxa"/>
            <w:vAlign w:val="top"/>
          </w:tcPr>
          <w:p>
            <w:pPr>
              <w:spacing w:line="289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89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89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89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184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8185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220" w:lineRule="auto"/>
              <w:ind w:left="29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670" w:type="dxa"/>
            <w:vAlign w:val="top"/>
          </w:tcPr>
          <w:p>
            <w:pPr>
              <w:spacing w:line="24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9" w:line="224" w:lineRule="auto"/>
              <w:ind w:left="103" w:right="6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经过听证程序作出的行政许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4"/>
                <w:sz w:val="24"/>
                <w:szCs w:val="24"/>
              </w:rPr>
              <w:t>可决定</w:t>
            </w:r>
          </w:p>
        </w:tc>
        <w:tc>
          <w:tcPr>
            <w:tcW w:w="4410" w:type="dxa"/>
            <w:vAlign w:val="top"/>
          </w:tcPr>
          <w:p>
            <w:pPr>
              <w:spacing w:before="59" w:line="220" w:lineRule="auto"/>
              <w:ind w:left="13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>1.行政许可主体是否合法；</w:t>
            </w:r>
          </w:p>
          <w:p>
            <w:pPr>
              <w:spacing w:before="17" w:line="234" w:lineRule="auto"/>
              <w:ind w:left="135" w:right="59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24"/>
                <w:szCs w:val="24"/>
              </w:rPr>
              <w:t>2.适用法律、法规、规章是否</w:t>
            </w:r>
            <w:r>
              <w:rPr>
                <w:rFonts w:hint="default" w:ascii="Times New Roman" w:hAnsi="Times New Roman" w:eastAsia="仿宋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确</w:t>
            </w:r>
            <w:r>
              <w:rPr>
                <w:rFonts w:hint="default" w:ascii="Times New Roman" w:hAnsi="Times New Roman" w:eastAsia="仿宋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；</w:t>
            </w:r>
          </w:p>
          <w:p>
            <w:pPr>
              <w:spacing w:before="49" w:line="220" w:lineRule="auto"/>
              <w:ind w:left="13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>3.程序、期限是否合法；</w:t>
            </w:r>
          </w:p>
          <w:p>
            <w:pPr>
              <w:spacing w:before="17" w:line="242" w:lineRule="auto"/>
              <w:ind w:left="135" w:right="7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4.是否有超越本机关职权范围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或滥用职权的情形；</w:t>
            </w:r>
          </w:p>
          <w:p>
            <w:pPr>
              <w:spacing w:before="30" w:line="230" w:lineRule="auto"/>
              <w:ind w:left="135" w:right="8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5.行政许可文书是否规范、齐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仿宋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；</w:t>
            </w:r>
          </w:p>
          <w:p>
            <w:pPr>
              <w:spacing w:before="47" w:line="202" w:lineRule="auto"/>
              <w:ind w:left="13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>6.其他应当审核的内容。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0" w:type="dxa"/>
            <w:vAlign w:val="top"/>
          </w:tcPr>
          <w:p>
            <w:pPr>
              <w:spacing w:before="244" w:line="183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9" w:line="220" w:lineRule="auto"/>
              <w:ind w:left="29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行政处罚</w:t>
            </w:r>
          </w:p>
        </w:tc>
        <w:tc>
          <w:tcPr>
            <w:tcW w:w="2670" w:type="dxa"/>
            <w:vAlign w:val="top"/>
          </w:tcPr>
          <w:p>
            <w:pPr>
              <w:spacing w:before="51" w:line="228" w:lineRule="auto"/>
              <w:ind w:left="103" w:right="6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涉及重大公共利益的行政处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2"/>
                <w:sz w:val="24"/>
                <w:szCs w:val="24"/>
              </w:rPr>
              <w:t>罚案件</w:t>
            </w:r>
          </w:p>
        </w:tc>
        <w:tc>
          <w:tcPr>
            <w:tcW w:w="441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64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233" w:lineRule="auto"/>
              <w:ind w:left="135" w:right="8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1.执法主体是否合法，执法人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员是否具备执法资格；</w:t>
            </w:r>
          </w:p>
          <w:p>
            <w:pPr>
              <w:spacing w:before="51" w:line="233" w:lineRule="auto"/>
              <w:ind w:left="135" w:right="8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2.主要事实是否清楚，证据是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sz w:val="24"/>
                <w:szCs w:val="24"/>
              </w:rPr>
              <w:t>否确凿、充分；</w:t>
            </w:r>
          </w:p>
          <w:p>
            <w:pPr>
              <w:spacing w:before="37" w:line="234" w:lineRule="auto"/>
              <w:ind w:left="135" w:right="79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3.适用法律、法规、规章是否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确</w:t>
            </w:r>
            <w:r>
              <w:rPr>
                <w:rFonts w:hint="default" w:ascii="Times New Roman" w:hAnsi="Times New Roman" w:eastAsia="仿宋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；</w:t>
            </w:r>
          </w:p>
          <w:p>
            <w:pPr>
              <w:spacing w:before="40" w:line="232" w:lineRule="auto"/>
              <w:ind w:left="135" w:right="87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6"/>
                <w:sz w:val="24"/>
                <w:szCs w:val="24"/>
              </w:rPr>
              <w:t>4.程序是否合法，是否充分保</w:t>
            </w:r>
            <w:r>
              <w:rPr>
                <w:rFonts w:hint="default" w:ascii="Times New Roman" w:hAnsi="Times New Roman" w:eastAsia="仿宋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障行政相对人权利。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0" w:type="dxa"/>
            <w:vAlign w:val="top"/>
          </w:tcPr>
          <w:p>
            <w:pPr>
              <w:spacing w:before="234" w:line="183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70" w:line="219" w:lineRule="auto"/>
              <w:ind w:left="103" w:right="63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经过听证程序的行政处罚案</w:t>
            </w: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件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0" w:type="dxa"/>
            <w:vAlign w:val="top"/>
          </w:tcPr>
          <w:p>
            <w:pPr>
              <w:spacing w:before="235" w:line="183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60" w:line="230" w:lineRule="auto"/>
              <w:ind w:left="103" w:right="7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24"/>
                <w:szCs w:val="24"/>
              </w:rPr>
              <w:t>案件情况疑难复杂、涉及多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>个法律关系的行政处罚案件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90" w:type="dxa"/>
            <w:vAlign w:val="top"/>
          </w:tcPr>
          <w:p>
            <w:pPr>
              <w:spacing w:before="248" w:line="182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82" w:line="229" w:lineRule="auto"/>
              <w:ind w:left="103" w:right="6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4"/>
                <w:szCs w:val="24"/>
              </w:rPr>
              <w:t>需要机关负责人集体讨论决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定的行政处罚案件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90" w:type="dxa"/>
            <w:vAlign w:val="top"/>
          </w:tcPr>
          <w:p>
            <w:pPr>
              <w:spacing w:line="317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183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73" w:line="233" w:lineRule="auto"/>
              <w:ind w:left="103" w:right="56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拟作出的罚款与没收违法所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得、没收非法财物价值至少</w:t>
            </w:r>
            <w:r>
              <w:rPr>
                <w:rFonts w:hint="default" w:ascii="Times New Roman" w:hAnsi="Times New Roman" w:eastAsia="仿宋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>有一项达5万元的案件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Align w:val="top"/>
          </w:tcPr>
          <w:p>
            <w:pPr>
              <w:spacing w:before="100" w:line="158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44" w:line="207" w:lineRule="auto"/>
              <w:ind w:left="103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降低资质等级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90" w:type="dxa"/>
            <w:vAlign w:val="top"/>
          </w:tcPr>
          <w:p>
            <w:pPr>
              <w:spacing w:before="98" w:line="168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44" w:line="216" w:lineRule="auto"/>
              <w:ind w:left="103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>吊销许可证件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0" w:type="dxa"/>
            <w:vAlign w:val="top"/>
          </w:tcPr>
          <w:p>
            <w:pPr>
              <w:spacing w:before="238" w:line="183" w:lineRule="auto"/>
              <w:ind w:left="42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73" w:line="218" w:lineRule="auto"/>
              <w:ind w:left="103" w:right="89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>责令停产停业、责令关闭、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>限制从业</w:t>
            </w:r>
          </w:p>
        </w:tc>
        <w:tc>
          <w:tcPr>
            <w:tcW w:w="44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90" w:type="dxa"/>
            <w:vAlign w:val="top"/>
          </w:tcPr>
          <w:p>
            <w:pPr>
              <w:spacing w:before="248" w:line="184" w:lineRule="auto"/>
              <w:ind w:left="37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1500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top"/>
          </w:tcPr>
          <w:p>
            <w:pPr>
              <w:spacing w:before="64" w:line="226" w:lineRule="auto"/>
              <w:ind w:left="103" w:right="61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其他依法应当进行法制审核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2"/>
                <w:sz w:val="24"/>
                <w:szCs w:val="24"/>
              </w:rPr>
              <w:t>的案件</w:t>
            </w:r>
          </w:p>
        </w:tc>
        <w:tc>
          <w:tcPr>
            <w:tcW w:w="4410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990" w:type="dxa"/>
            <w:vAlign w:val="top"/>
          </w:tcPr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6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57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184" w:lineRule="auto"/>
              <w:ind w:left="37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1500" w:type="dxa"/>
            <w:vAlign w:val="top"/>
          </w:tcPr>
          <w:p>
            <w:pPr>
              <w:spacing w:line="243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4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68" w:line="220" w:lineRule="auto"/>
              <w:ind w:left="29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4"/>
                <w:szCs w:val="24"/>
              </w:rPr>
              <w:t>行政强制</w:t>
            </w:r>
          </w:p>
        </w:tc>
        <w:tc>
          <w:tcPr>
            <w:tcW w:w="2670" w:type="dxa"/>
            <w:vAlign w:val="top"/>
          </w:tcPr>
          <w:p>
            <w:pPr>
              <w:spacing w:before="68" w:line="245" w:lineRule="auto"/>
              <w:ind w:right="63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涉及重大公共利益，可能造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成重大社会影响或引发社会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>风险，直接关系行政相对人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或第三人重大权益的行政强</w:t>
            </w: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9"/>
                <w:sz w:val="24"/>
                <w:szCs w:val="24"/>
              </w:rPr>
              <w:t>制措施</w:t>
            </w:r>
          </w:p>
        </w:tc>
        <w:tc>
          <w:tcPr>
            <w:tcW w:w="4410" w:type="dxa"/>
            <w:vAlign w:val="top"/>
          </w:tcPr>
          <w:p>
            <w:pPr>
              <w:spacing w:before="96" w:line="224" w:lineRule="auto"/>
              <w:ind w:left="135" w:right="105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sz w:val="24"/>
                <w:szCs w:val="24"/>
              </w:rPr>
              <w:t>1.执法主体是否合法，执法人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>员是否具备执法资格；</w:t>
            </w:r>
          </w:p>
          <w:p>
            <w:pPr>
              <w:spacing w:before="51" w:line="233" w:lineRule="auto"/>
              <w:ind w:left="135" w:right="64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24"/>
                <w:szCs w:val="24"/>
              </w:rPr>
              <w:t>2.主要事实是否清楚，证据是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sz w:val="24"/>
                <w:szCs w:val="24"/>
              </w:rPr>
              <w:t>否确凿、充分；</w:t>
            </w:r>
          </w:p>
          <w:p>
            <w:pPr>
              <w:spacing w:before="28" w:line="238" w:lineRule="auto"/>
              <w:ind w:left="135" w:right="79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3.适用法律、法规、规章是否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确</w:t>
            </w:r>
            <w:r>
              <w:rPr>
                <w:rFonts w:hint="default" w:ascii="Times New Roman" w:hAnsi="Times New Roman" w:eastAsia="仿宋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；</w:t>
            </w:r>
          </w:p>
          <w:p>
            <w:pPr>
              <w:spacing w:before="39" w:line="218" w:lineRule="auto"/>
              <w:ind w:left="135" w:right="47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24"/>
                <w:szCs w:val="24"/>
              </w:rPr>
              <w:t>4.程序是否合法，是否充分保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>障行政相对人权利。</w:t>
            </w:r>
          </w:p>
        </w:tc>
      </w:tr>
    </w:tbl>
    <w:p>
      <w:pPr>
        <w:jc w:val="both"/>
        <w:rPr>
          <w:rFonts w:ascii="Arial"/>
          <w:sz w:val="24"/>
          <w:szCs w:val="24"/>
        </w:rPr>
      </w:pPr>
    </w:p>
    <w:sectPr>
      <w:pgSz w:w="11910" w:h="16840"/>
      <w:pgMar w:top="1431" w:right="1056" w:bottom="0" w:left="16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E3ZDFjNzQ1ZTBhYTEyMjY1ZTA1ZDZkMDI5ZTlhNWQifQ=="/>
  </w:docVars>
  <w:rsids>
    <w:rsidRoot w:val="00000000"/>
    <w:rsid w:val="3257571E"/>
    <w:rsid w:val="3E8E2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2023-09-25T15:27:00Z</dcterms:created>
  <dc:creator>Kingsoft-PDF</dc:creator>
  <cp:lastModifiedBy>敏</cp:lastModifiedBy>
  <dcterms:modified xsi:type="dcterms:W3CDTF">2023-09-25T07:33:21Z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2023-09-25T15:27:00Z</vt:filetime>
  </property>
  <property fmtid="{D5CDD505-2E9C-101B-9397-08002B2CF9AE}" pid="4" name="UsrData">
    <vt:lpwstr>651136425e0b5e001fda7b8ewl</vt:lpwstr>
  </property>
  <property fmtid="{D5CDD505-2E9C-101B-9397-08002B2CF9AE}" pid="5" name="KSOProductBuildVer">
    <vt:lpwstr>2052-12.1.0.15120</vt:lpwstr>
  </property>
  <property fmtid="{D5CDD505-2E9C-101B-9397-08002B2CF9AE}" pid="6" name="ICV">
    <vt:lpwstr>7989C67B5F8A4FE28139C2002476472A_13</vt:lpwstr>
  </property>
</Properties>
</file>