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目录</w:t>
      </w:r>
    </w:p>
    <w:p>
      <w:pPr>
        <w:autoSpaceDE w:val="0"/>
        <w:autoSpaceDN w:val="0"/>
        <w:adjustRightInd w:val="0"/>
        <w:spacing w:line="600" w:lineRule="exact"/>
        <w:jc w:val="left"/>
        <w:rPr>
          <w:rFonts w:hint="default" w:ascii="黑体" w:hAnsi="黑体" w:eastAsia="黑体" w:cs="黑体"/>
          <w:b w:val="0"/>
          <w:bCs w:val="0"/>
          <w:sz w:val="28"/>
          <w:szCs w:val="28"/>
          <w:lang w:val="en-US" w:eastAsia="zh-CN"/>
        </w:rPr>
      </w:pPr>
      <w:r>
        <w:rPr>
          <w:rFonts w:hint="eastAsia" w:ascii="黑体" w:hAnsi="黑体" w:eastAsia="黑体" w:cs="黑体"/>
          <w:b w:val="0"/>
          <w:bCs w:val="0"/>
          <w:sz w:val="32"/>
          <w:szCs w:val="32"/>
          <w:lang w:val="en-US" w:eastAsia="zh-CN"/>
        </w:rPr>
        <w:t>一、关于区级“三公”经费支出情况的说明...............1</w:t>
      </w:r>
      <w:r>
        <w:rPr>
          <w:rFonts w:hint="eastAsia" w:ascii="黑体" w:hAnsi="黑体" w:eastAsia="黑体" w:cs="黑体"/>
          <w:b w:val="0"/>
          <w:bCs w:val="0"/>
          <w:sz w:val="32"/>
          <w:szCs w:val="32"/>
          <w:lang w:val="en-US" w:eastAsia="zh-CN"/>
        </w:rPr>
        <w:br w:type="textWrapping"/>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28"/>
          <w:szCs w:val="28"/>
          <w:lang w:val="en-US" w:eastAsia="zh-CN"/>
        </w:rPr>
        <w:t>关于税收返还及转移支付情况的说明......................2</w:t>
      </w:r>
      <w:r>
        <w:rPr>
          <w:rFonts w:hint="eastAsia" w:ascii="黑体" w:hAnsi="黑体" w:eastAsia="黑体" w:cs="黑体"/>
          <w:b w:val="0"/>
          <w:bCs w:val="0"/>
          <w:sz w:val="28"/>
          <w:szCs w:val="28"/>
          <w:lang w:val="en-US" w:eastAsia="zh-CN"/>
        </w:rPr>
        <w:br w:type="textWrapping"/>
      </w:r>
      <w:r>
        <w:rPr>
          <w:rFonts w:hint="eastAsia" w:ascii="黑体" w:hAnsi="黑体" w:eastAsia="黑体" w:cs="黑体"/>
          <w:b w:val="0"/>
          <w:bCs w:val="0"/>
          <w:sz w:val="28"/>
          <w:szCs w:val="28"/>
          <w:lang w:val="en-US" w:eastAsia="zh-CN"/>
        </w:rPr>
        <w:t>三、关于税收返还及转移支付情况的说明.......................3</w:t>
      </w:r>
    </w:p>
    <w:p>
      <w:pPr>
        <w:autoSpaceDE w:val="0"/>
        <w:autoSpaceDN w:val="0"/>
        <w:adjustRightInd w:val="0"/>
        <w:spacing w:line="600" w:lineRule="exact"/>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28"/>
          <w:szCs w:val="28"/>
          <w:lang w:val="en-US" w:eastAsia="zh-CN"/>
        </w:rPr>
        <w:t>四、</w:t>
      </w:r>
      <w:r>
        <w:rPr>
          <w:rFonts w:hint="eastAsia" w:ascii="黑体" w:hAnsi="黑体" w:eastAsia="黑体" w:cs="黑体"/>
          <w:b w:val="0"/>
          <w:bCs w:val="0"/>
          <w:sz w:val="32"/>
          <w:szCs w:val="32"/>
          <w:lang w:val="en-US" w:eastAsia="zh-CN"/>
        </w:rPr>
        <w:t>关于预算绩效管理工作情况的说明..................4</w:t>
      </w:r>
    </w:p>
    <w:p>
      <w:pPr>
        <w:autoSpaceDE w:val="0"/>
        <w:autoSpaceDN w:val="0"/>
        <w:adjustRightInd w:val="0"/>
        <w:spacing w:line="600" w:lineRule="exact"/>
        <w:jc w:val="both"/>
        <w:rPr>
          <w:rFonts w:hint="default" w:ascii="Times New Roman" w:hAnsi="Times New Roman" w:eastAsia="方正小标宋简体" w:cs="Times New Roman"/>
          <w:sz w:val="40"/>
          <w:szCs w:val="40"/>
          <w:lang w:val="en-US" w:eastAsia="zh-CN"/>
        </w:rPr>
      </w:pPr>
    </w:p>
    <w:p>
      <w:pPr>
        <w:autoSpaceDE w:val="0"/>
        <w:autoSpaceDN w:val="0"/>
        <w:adjustRightInd w:val="0"/>
        <w:spacing w:line="600" w:lineRule="exact"/>
        <w:ind w:firstLine="640" w:firstLineChars="200"/>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方正小标宋简体" w:cs="Times New Roman"/>
          <w:sz w:val="44"/>
          <w:szCs w:val="44"/>
          <w:lang w:val="en-US" w:eastAsia="zh-CN"/>
        </w:rPr>
      </w:pPr>
    </w:p>
    <w:p>
      <w:pPr>
        <w:rPr>
          <w:rFonts w:hint="default" w:ascii="Times New Roman" w:hAnsi="Times New Roman" w:eastAsia="方正小标宋简体" w:cs="Times New Roman"/>
          <w:sz w:val="44"/>
          <w:szCs w:val="44"/>
          <w:lang w:val="en-US" w:eastAsia="zh-CN"/>
        </w:rPr>
      </w:pPr>
    </w:p>
    <w:p>
      <w:pPr>
        <w:pStyle w:val="2"/>
        <w:rPr>
          <w:rFonts w:hint="default" w:ascii="Times New Roman" w:hAnsi="Times New Roman" w:eastAsia="方正小标宋简体" w:cs="Times New Roman"/>
          <w:sz w:val="44"/>
          <w:szCs w:val="44"/>
          <w:lang w:val="en-US" w:eastAsia="zh-CN"/>
        </w:rPr>
      </w:pPr>
    </w:p>
    <w:p>
      <w:pPr>
        <w:rPr>
          <w:rFonts w:hint="default" w:ascii="Times New Roman" w:hAnsi="Times New Roman" w:eastAsia="方正小标宋简体" w:cs="Times New Roman"/>
          <w:sz w:val="44"/>
          <w:szCs w:val="44"/>
          <w:lang w:val="en-US" w:eastAsia="zh-CN"/>
        </w:rPr>
      </w:pPr>
    </w:p>
    <w:p>
      <w:pPr>
        <w:pStyle w:val="2"/>
        <w:rPr>
          <w:rFonts w:hint="default" w:ascii="Times New Roman" w:hAnsi="Times New Roman" w:eastAsia="方正小标宋简体" w:cs="Times New Roman"/>
          <w:sz w:val="44"/>
          <w:szCs w:val="44"/>
          <w:lang w:val="en-US" w:eastAsia="zh-CN"/>
        </w:rPr>
      </w:pPr>
    </w:p>
    <w:p>
      <w:pPr>
        <w:rPr>
          <w:rFonts w:hint="default" w:ascii="Times New Roman" w:hAnsi="Times New Roman" w:eastAsia="方正小标宋简体" w:cs="Times New Roman"/>
          <w:sz w:val="44"/>
          <w:szCs w:val="44"/>
          <w:lang w:val="en-US" w:eastAsia="zh-CN"/>
        </w:rPr>
      </w:pPr>
    </w:p>
    <w:p>
      <w:pPr>
        <w:pStyle w:val="2"/>
        <w:rPr>
          <w:rFonts w:hint="default" w:ascii="Times New Roman" w:hAnsi="Times New Roman" w:eastAsia="方正小标宋简体" w:cs="Times New Roman"/>
          <w:sz w:val="44"/>
          <w:szCs w:val="44"/>
          <w:lang w:val="en-US" w:eastAsia="zh-CN"/>
        </w:rPr>
      </w:pPr>
    </w:p>
    <w:p>
      <w:pPr>
        <w:rPr>
          <w:rFonts w:hint="default" w:ascii="Times New Roman" w:hAnsi="Times New Roman" w:eastAsia="方正小标宋简体" w:cs="Times New Roman"/>
          <w:sz w:val="44"/>
          <w:szCs w:val="44"/>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sectPr>
          <w:pgSz w:w="11906" w:h="16838"/>
          <w:pgMar w:top="1440" w:right="1800" w:bottom="1440" w:left="1800" w:header="851" w:footer="992" w:gutter="0"/>
          <w:pgNumType w:fmt="decimal"/>
          <w:cols w:space="425" w:num="1"/>
          <w:docGrid w:type="lines" w:linePitch="312" w:charSpace="0"/>
        </w:sectPr>
      </w:pPr>
    </w:p>
    <w:p>
      <w:pPr>
        <w:autoSpaceDE w:val="0"/>
        <w:autoSpaceDN w:val="0"/>
        <w:adjustRightInd w:val="0"/>
        <w:spacing w:line="600" w:lineRule="exact"/>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关于区级“三公”经费支出情况的说明</w:t>
      </w:r>
    </w:p>
    <w:p>
      <w:pPr>
        <w:autoSpaceDE w:val="0"/>
        <w:autoSpaceDN w:val="0"/>
        <w:adjustRightInd w:val="0"/>
        <w:spacing w:line="600" w:lineRule="exact"/>
        <w:ind w:firstLine="640" w:firstLineChars="200"/>
        <w:rPr>
          <w:rFonts w:hint="default" w:ascii="Times New Roman" w:hAnsi="Times New Roman" w:eastAsia="仿宋_GB2312" w:cs="Times New Roman"/>
          <w:color w:val="auto"/>
          <w:sz w:val="32"/>
          <w:szCs w:val="32"/>
          <w:lang w:val="en-US" w:eastAsia="zh-CN"/>
        </w:rPr>
      </w:pPr>
    </w:p>
    <w:p>
      <w:pPr>
        <w:autoSpaceDE w:val="0"/>
        <w:autoSpaceDN w:val="0"/>
        <w:adjustRightInd w:val="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2022</w:t>
      </w:r>
      <w:r>
        <w:rPr>
          <w:rFonts w:hint="default" w:ascii="Times New Roman" w:hAnsi="Times New Roman" w:eastAsia="仿宋_GB2312" w:cs="Times New Roman"/>
          <w:color w:val="auto"/>
          <w:sz w:val="32"/>
          <w:szCs w:val="32"/>
          <w:lang w:val="en-US" w:eastAsia="zh-CN"/>
        </w:rPr>
        <w:t>年，区级一般公共预算安排的行政事业单位“三公”经费支出合计</w:t>
      </w:r>
      <w:r>
        <w:rPr>
          <w:rFonts w:hint="eastAsia" w:ascii="Times New Roman" w:hAnsi="Times New Roman" w:eastAsia="仿宋_GB2312" w:cs="Times New Roman"/>
          <w:color w:val="auto"/>
          <w:sz w:val="32"/>
          <w:szCs w:val="32"/>
          <w:lang w:val="en-US" w:eastAsia="zh-CN"/>
        </w:rPr>
        <w:t>148</w:t>
      </w:r>
      <w:r>
        <w:rPr>
          <w:rFonts w:hint="default" w:ascii="Times New Roman" w:hAnsi="Times New Roman" w:eastAsia="仿宋_GB2312" w:cs="Times New Roman"/>
          <w:color w:val="auto"/>
          <w:sz w:val="32"/>
          <w:szCs w:val="32"/>
          <w:lang w:val="en-US" w:eastAsia="zh-CN"/>
        </w:rPr>
        <w:t>万元，比预算数</w:t>
      </w:r>
      <w:r>
        <w:rPr>
          <w:rFonts w:hint="eastAsia" w:ascii="Times New Roman" w:hAnsi="Times New Roman" w:eastAsia="仿宋_GB2312" w:cs="Times New Roman"/>
          <w:color w:val="auto"/>
          <w:sz w:val="32"/>
          <w:szCs w:val="32"/>
          <w:lang w:val="en-US" w:eastAsia="zh-CN"/>
        </w:rPr>
        <w:t>256</w:t>
      </w:r>
      <w:r>
        <w:rPr>
          <w:rFonts w:hint="default" w:ascii="Times New Roman" w:hAnsi="Times New Roman" w:eastAsia="仿宋_GB2312" w:cs="Times New Roman"/>
          <w:color w:val="auto"/>
          <w:sz w:val="32"/>
          <w:szCs w:val="32"/>
          <w:lang w:val="en-US" w:eastAsia="zh-CN"/>
        </w:rPr>
        <w:t>万元减少</w:t>
      </w:r>
      <w:r>
        <w:rPr>
          <w:rFonts w:hint="eastAsia" w:ascii="Times New Roman" w:hAnsi="Times New Roman" w:eastAsia="仿宋_GB2312" w:cs="Times New Roman"/>
          <w:color w:val="auto"/>
          <w:sz w:val="32"/>
          <w:szCs w:val="32"/>
          <w:lang w:val="en-US" w:eastAsia="zh-CN"/>
        </w:rPr>
        <w:t>108</w:t>
      </w:r>
      <w:r>
        <w:rPr>
          <w:rFonts w:hint="default" w:ascii="Times New Roman" w:hAnsi="Times New Roman" w:eastAsia="仿宋_GB2312" w:cs="Times New Roman"/>
          <w:color w:val="auto"/>
          <w:sz w:val="32"/>
          <w:szCs w:val="32"/>
          <w:lang w:val="en-US" w:eastAsia="zh-CN"/>
        </w:rPr>
        <w:t>万元。</w:t>
      </w:r>
      <w:r>
        <w:rPr>
          <w:rFonts w:hint="default" w:ascii="Times New Roman" w:hAnsi="Times New Roman" w:eastAsia="仿宋_GB2312" w:cs="Times New Roman"/>
          <w:color w:val="auto"/>
          <w:sz w:val="32"/>
          <w:szCs w:val="32"/>
          <w:lang w:val="en-US" w:eastAsia="zh-CN"/>
        </w:rPr>
        <w:t>其中：因公出国（境）经费</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万元；公务用车购置费</w:t>
      </w:r>
      <w:r>
        <w:rPr>
          <w:rFonts w:hint="eastAsia"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lang w:val="en-US" w:eastAsia="zh-CN"/>
        </w:rPr>
        <w:t>万元，公务用车运行维护费</w:t>
      </w:r>
      <w:r>
        <w:rPr>
          <w:rFonts w:hint="eastAsia" w:ascii="Times New Roman" w:hAnsi="Times New Roman" w:eastAsia="仿宋_GB2312" w:cs="Times New Roman"/>
          <w:color w:val="auto"/>
          <w:sz w:val="32"/>
          <w:szCs w:val="32"/>
          <w:lang w:val="en-US" w:eastAsia="zh-CN"/>
        </w:rPr>
        <w:t>113</w:t>
      </w:r>
      <w:r>
        <w:rPr>
          <w:rFonts w:hint="default" w:ascii="Times New Roman" w:hAnsi="Times New Roman" w:eastAsia="仿宋_GB2312" w:cs="Times New Roman"/>
          <w:color w:val="auto"/>
          <w:sz w:val="32"/>
          <w:szCs w:val="32"/>
          <w:lang w:val="en-US" w:eastAsia="zh-CN"/>
        </w:rPr>
        <w:t>万元；公务接待费</w:t>
      </w:r>
      <w:r>
        <w:rPr>
          <w:rFonts w:hint="eastAsia"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lang w:val="en-US" w:eastAsia="zh-CN"/>
        </w:rPr>
        <w:t>万元。区级“三公”经费下降主要是区直部门带头过紧日子，厉行节约，</w:t>
      </w:r>
      <w:r>
        <w:rPr>
          <w:rFonts w:hint="default" w:ascii="Times New Roman" w:hAnsi="Times New Roman" w:eastAsia="仿宋_GB2312" w:cs="Times New Roman"/>
          <w:color w:val="auto"/>
          <w:sz w:val="32"/>
          <w:szCs w:val="32"/>
        </w:rPr>
        <w:t>严控“三公”</w:t>
      </w:r>
      <w:r>
        <w:rPr>
          <w:rFonts w:hint="default" w:ascii="Times New Roman" w:hAnsi="Times New Roman" w:eastAsia="仿宋_GB2312" w:cs="Times New Roman"/>
          <w:color w:val="auto"/>
          <w:sz w:val="32"/>
          <w:szCs w:val="32"/>
          <w:lang w:val="en-US" w:eastAsia="zh-CN"/>
        </w:rPr>
        <w:t>开支，确保“三公”经费总数只减不增。</w:t>
      </w:r>
    </w:p>
    <w:p>
      <w:pPr>
        <w:autoSpaceDE w:val="0"/>
        <w:autoSpaceDN w:val="0"/>
        <w:adjustRightInd w:val="0"/>
        <w:spacing w:line="600" w:lineRule="exact"/>
        <w:jc w:val="center"/>
        <w:rPr>
          <w:rFonts w:hint="default" w:ascii="Times New Roman" w:hAnsi="Times New Roman" w:eastAsia="方正小标宋简体" w:cs="Times New Roman"/>
          <w:color w:val="auto"/>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color w:val="auto"/>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pStyle w:val="2"/>
        <w:rPr>
          <w:rFonts w:hint="default"/>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color w:val="auto"/>
          <w:sz w:val="40"/>
          <w:szCs w:val="40"/>
          <w:lang w:val="en-US" w:eastAsia="zh-CN"/>
        </w:rPr>
      </w:pPr>
      <w:r>
        <w:rPr>
          <w:rFonts w:hint="default" w:ascii="Times New Roman" w:hAnsi="Times New Roman" w:eastAsia="方正小标宋简体" w:cs="Times New Roman"/>
          <w:color w:val="auto"/>
          <w:sz w:val="40"/>
          <w:szCs w:val="40"/>
          <w:lang w:val="en-US" w:eastAsia="zh-CN"/>
        </w:rPr>
        <w:t>关于税收返还及转移支付情况的说明</w:t>
      </w:r>
    </w:p>
    <w:p>
      <w:pPr>
        <w:autoSpaceDE w:val="0"/>
        <w:autoSpaceDN w:val="0"/>
        <w:adjustRightInd w:val="0"/>
        <w:spacing w:line="600" w:lineRule="exact"/>
        <w:ind w:firstLine="640" w:firstLineChars="200"/>
        <w:rPr>
          <w:rFonts w:hint="default" w:ascii="Times New Roman" w:hAnsi="Times New Roman" w:eastAsia="仿宋_GB2312" w:cs="Times New Roman"/>
          <w:color w:val="auto"/>
          <w:sz w:val="32"/>
          <w:szCs w:val="32"/>
          <w:lang w:val="en-US" w:eastAsia="zh-CN"/>
        </w:rPr>
      </w:pPr>
    </w:p>
    <w:p>
      <w:pPr>
        <w:autoSpaceDE w:val="0"/>
        <w:autoSpaceDN w:val="0"/>
        <w:adjustRightInd w:val="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2022</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中央、</w:t>
      </w:r>
      <w:r>
        <w:rPr>
          <w:rFonts w:hint="default" w:ascii="Times New Roman" w:hAnsi="Times New Roman" w:eastAsia="仿宋_GB2312" w:cs="Times New Roman"/>
          <w:color w:val="auto"/>
          <w:sz w:val="32"/>
          <w:szCs w:val="32"/>
          <w:lang w:val="en-US" w:eastAsia="zh-CN"/>
        </w:rPr>
        <w:t>省</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市财政安排我区税收返还和转移支付</w:t>
      </w:r>
      <w:r>
        <w:rPr>
          <w:rFonts w:hint="eastAsia" w:ascii="Times New Roman" w:hAnsi="Times New Roman" w:eastAsia="仿宋_GB2312" w:cs="Times New Roman"/>
          <w:color w:val="auto"/>
          <w:sz w:val="32"/>
          <w:szCs w:val="32"/>
          <w:lang w:val="en-US" w:eastAsia="zh-CN"/>
        </w:rPr>
        <w:t>27.54</w:t>
      </w:r>
      <w:r>
        <w:rPr>
          <w:rFonts w:hint="default" w:ascii="Times New Roman" w:hAnsi="Times New Roman" w:eastAsia="仿宋_GB2312" w:cs="Times New Roman"/>
          <w:color w:val="auto"/>
          <w:sz w:val="32"/>
          <w:szCs w:val="32"/>
          <w:lang w:val="en-US" w:eastAsia="zh-CN"/>
        </w:rPr>
        <w:t>亿元，比上年</w:t>
      </w:r>
      <w:r>
        <w:rPr>
          <w:rFonts w:hint="eastAsia" w:ascii="Times New Roman" w:hAnsi="Times New Roman" w:eastAsia="仿宋_GB2312" w:cs="Times New Roman"/>
          <w:color w:val="auto"/>
          <w:sz w:val="32"/>
          <w:szCs w:val="32"/>
          <w:lang w:val="en-US" w:eastAsia="zh-CN"/>
        </w:rPr>
        <w:t>增加9.99</w:t>
      </w:r>
      <w:r>
        <w:rPr>
          <w:rFonts w:hint="default" w:ascii="Times New Roman" w:hAnsi="Times New Roman" w:eastAsia="仿宋_GB2312" w:cs="Times New Roman"/>
          <w:color w:val="auto"/>
          <w:sz w:val="32"/>
          <w:szCs w:val="32"/>
          <w:lang w:val="en-US" w:eastAsia="zh-CN"/>
        </w:rPr>
        <w:t>亿元，</w:t>
      </w:r>
      <w:r>
        <w:rPr>
          <w:rFonts w:hint="eastAsia" w:ascii="Times New Roman" w:hAnsi="Times New Roman" w:eastAsia="仿宋_GB2312" w:cs="Times New Roman"/>
          <w:color w:val="auto"/>
          <w:sz w:val="32"/>
          <w:szCs w:val="32"/>
          <w:lang w:val="en-US" w:eastAsia="zh-CN"/>
        </w:rPr>
        <w:t>上升57</w:t>
      </w:r>
      <w:r>
        <w:rPr>
          <w:rFonts w:hint="default" w:ascii="Times New Roman" w:hAnsi="Times New Roman" w:eastAsia="仿宋_GB2312" w:cs="Times New Roman"/>
          <w:color w:val="auto"/>
          <w:sz w:val="32"/>
          <w:szCs w:val="32"/>
          <w:lang w:val="en-US" w:eastAsia="zh-CN"/>
        </w:rPr>
        <w:t>%，其中：</w:t>
      </w:r>
    </w:p>
    <w:p>
      <w:pPr>
        <w:numPr>
          <w:ilvl w:val="0"/>
          <w:numId w:val="1"/>
        </w:numPr>
        <w:autoSpaceDE w:val="0"/>
        <w:autoSpaceDN w:val="0"/>
        <w:adjustRightInd w:val="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返还性收入1.3亿元，与上年持平。其中：增值税“五五分享”税收返还收入0.9亿元；其他返还性收入0.4亿元。</w:t>
      </w:r>
    </w:p>
    <w:p>
      <w:pPr>
        <w:numPr>
          <w:ilvl w:val="0"/>
          <w:numId w:val="1"/>
        </w:numPr>
        <w:autoSpaceDE w:val="0"/>
        <w:autoSpaceDN w:val="0"/>
        <w:adjustRightInd w:val="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一般性转移支付</w:t>
      </w:r>
      <w:r>
        <w:rPr>
          <w:rFonts w:hint="eastAsia" w:ascii="Times New Roman" w:hAnsi="Times New Roman" w:eastAsia="仿宋_GB2312" w:cs="Times New Roman"/>
          <w:color w:val="auto"/>
          <w:sz w:val="32"/>
          <w:szCs w:val="32"/>
          <w:lang w:val="en-US" w:eastAsia="zh-CN"/>
        </w:rPr>
        <w:t>20.44</w:t>
      </w:r>
      <w:r>
        <w:rPr>
          <w:rFonts w:hint="default" w:ascii="Times New Roman" w:hAnsi="Times New Roman" w:eastAsia="仿宋_GB2312" w:cs="Times New Roman"/>
          <w:color w:val="auto"/>
          <w:sz w:val="32"/>
          <w:szCs w:val="32"/>
          <w:lang w:val="en-US" w:eastAsia="zh-CN"/>
        </w:rPr>
        <w:t>亿元，</w:t>
      </w:r>
      <w:r>
        <w:rPr>
          <w:rFonts w:hint="eastAsia" w:ascii="Times New Roman" w:hAnsi="Times New Roman" w:eastAsia="仿宋_GB2312" w:cs="Times New Roman"/>
          <w:color w:val="auto"/>
          <w:sz w:val="32"/>
          <w:szCs w:val="32"/>
          <w:lang w:val="en-US" w:eastAsia="zh-CN"/>
        </w:rPr>
        <w:t>比上年增加8.39亿元，上升70</w:t>
      </w:r>
      <w:r>
        <w:rPr>
          <w:rFonts w:hint="default" w:ascii="Times New Roman" w:hAnsi="Times New Roman" w:eastAsia="仿宋_GB2312" w:cs="Times New Roman"/>
          <w:color w:val="auto"/>
          <w:sz w:val="32"/>
          <w:szCs w:val="32"/>
          <w:lang w:val="en-US" w:eastAsia="zh-CN"/>
        </w:rPr>
        <w:t>%。主要是增值税留抵退税转移支付收入</w:t>
      </w:r>
      <w:r>
        <w:rPr>
          <w:rFonts w:hint="eastAsia" w:ascii="Times New Roman" w:hAnsi="Times New Roman" w:eastAsia="仿宋_GB2312" w:cs="Times New Roman"/>
          <w:color w:val="auto"/>
          <w:sz w:val="32"/>
          <w:szCs w:val="32"/>
          <w:lang w:val="en-US" w:eastAsia="zh-CN"/>
        </w:rPr>
        <w:t>和其他一般性转移支付收入增加近10亿元，因为增值税留抵退税等因素，</w:t>
      </w:r>
      <w:r>
        <w:rPr>
          <w:rFonts w:hint="default" w:ascii="Times New Roman" w:hAnsi="Times New Roman" w:eastAsia="仿宋_GB2312" w:cs="Times New Roman"/>
          <w:color w:val="auto"/>
          <w:sz w:val="32"/>
          <w:szCs w:val="32"/>
          <w:lang w:val="en-US" w:eastAsia="zh-CN"/>
        </w:rPr>
        <w:t>中央</w:t>
      </w:r>
      <w:r>
        <w:rPr>
          <w:rFonts w:hint="eastAsia" w:ascii="Times New Roman" w:hAnsi="Times New Roman" w:eastAsia="仿宋_GB2312" w:cs="Times New Roman"/>
          <w:color w:val="auto"/>
          <w:sz w:val="32"/>
          <w:szCs w:val="32"/>
          <w:lang w:val="en-US" w:eastAsia="zh-CN"/>
        </w:rPr>
        <w:t>、省、市增加了相关的返还资金。</w:t>
      </w:r>
    </w:p>
    <w:p>
      <w:pPr>
        <w:numPr>
          <w:ilvl w:val="0"/>
          <w:numId w:val="1"/>
        </w:numPr>
        <w:autoSpaceDE w:val="0"/>
        <w:autoSpaceDN w:val="0"/>
        <w:adjustRightInd w:val="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专项转移支付</w:t>
      </w:r>
      <w:r>
        <w:rPr>
          <w:rFonts w:hint="eastAsia" w:ascii="Times New Roman" w:hAnsi="Times New Roman" w:eastAsia="仿宋_GB2312" w:cs="Times New Roman"/>
          <w:color w:val="auto"/>
          <w:sz w:val="32"/>
          <w:szCs w:val="32"/>
          <w:lang w:val="en-US" w:eastAsia="zh-CN"/>
        </w:rPr>
        <w:t>5.8</w:t>
      </w:r>
      <w:r>
        <w:rPr>
          <w:rFonts w:hint="default" w:ascii="Times New Roman" w:hAnsi="Times New Roman" w:eastAsia="仿宋_GB2312" w:cs="Times New Roman"/>
          <w:color w:val="auto"/>
          <w:sz w:val="32"/>
          <w:szCs w:val="32"/>
          <w:lang w:val="en-US" w:eastAsia="zh-CN"/>
        </w:rPr>
        <w:t>亿元，</w:t>
      </w:r>
      <w:r>
        <w:rPr>
          <w:rFonts w:hint="eastAsia" w:ascii="Times New Roman" w:hAnsi="Times New Roman" w:eastAsia="仿宋_GB2312" w:cs="Times New Roman"/>
          <w:color w:val="auto"/>
          <w:sz w:val="32"/>
          <w:szCs w:val="32"/>
          <w:lang w:val="en-US" w:eastAsia="zh-CN"/>
        </w:rPr>
        <w:t>比上年增加1.6亿元，上升40</w:t>
      </w:r>
      <w:r>
        <w:rPr>
          <w:rFonts w:hint="default" w:ascii="Times New Roman" w:hAnsi="Times New Roman" w:eastAsia="仿宋_GB2312" w:cs="Times New Roman"/>
          <w:color w:val="auto"/>
          <w:sz w:val="32"/>
          <w:szCs w:val="32"/>
          <w:lang w:val="en-US" w:eastAsia="zh-CN"/>
        </w:rPr>
        <w:t>%。主要是</w:t>
      </w:r>
      <w:r>
        <w:rPr>
          <w:rFonts w:hint="eastAsia" w:ascii="Times New Roman" w:hAnsi="Times New Roman" w:eastAsia="仿宋_GB2312" w:cs="Times New Roman"/>
          <w:color w:val="auto"/>
          <w:sz w:val="32"/>
          <w:szCs w:val="32"/>
          <w:lang w:val="en-US" w:eastAsia="zh-CN"/>
        </w:rPr>
        <w:t>上级对于</w:t>
      </w:r>
      <w:r>
        <w:rPr>
          <w:rFonts w:hint="default" w:ascii="Times New Roman" w:hAnsi="Times New Roman" w:eastAsia="仿宋_GB2312" w:cs="Times New Roman"/>
          <w:color w:val="auto"/>
          <w:sz w:val="32"/>
          <w:szCs w:val="32"/>
          <w:lang w:val="en-US" w:eastAsia="zh-CN"/>
        </w:rPr>
        <w:t>城乡社区</w:t>
      </w:r>
      <w:r>
        <w:rPr>
          <w:rFonts w:hint="eastAsia" w:ascii="Times New Roman" w:hAnsi="Times New Roman" w:eastAsia="仿宋_GB2312" w:cs="Times New Roman"/>
          <w:color w:val="auto"/>
          <w:sz w:val="32"/>
          <w:szCs w:val="32"/>
          <w:lang w:val="en-US" w:eastAsia="zh-CN"/>
        </w:rPr>
        <w:t>相关支出增加了1.2亿元</w:t>
      </w:r>
      <w:r>
        <w:rPr>
          <w:rFonts w:hint="default" w:ascii="Times New Roman" w:hAnsi="Times New Roman" w:eastAsia="仿宋_GB2312" w:cs="Times New Roman"/>
          <w:color w:val="auto"/>
          <w:sz w:val="32"/>
          <w:szCs w:val="32"/>
          <w:lang w:val="en-US" w:eastAsia="zh-CN"/>
        </w:rPr>
        <w:t>。</w:t>
      </w:r>
      <w:r>
        <w:rPr>
          <w:rFonts w:hint="eastAsia" w:ascii="仿宋_GB2312" w:hAnsi="宋体" w:eastAsia="仿宋_GB2312" w:cs="仿宋_GB2312"/>
          <w:i w:val="0"/>
          <w:iCs w:val="0"/>
          <w:color w:val="auto"/>
          <w:kern w:val="0"/>
          <w:sz w:val="28"/>
          <w:szCs w:val="28"/>
          <w:u w:val="none"/>
          <w:lang w:val="en-US" w:eastAsia="zh-CN" w:bidi="ar"/>
        </w:rPr>
        <w:t xml:space="preserve"> </w:t>
      </w:r>
    </w:p>
    <w:p>
      <w:pPr>
        <w:pStyle w:val="2"/>
        <w:rPr>
          <w:rFonts w:hint="default"/>
          <w:color w:val="auto"/>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关于地方政府债务情况的说明</w:t>
      </w:r>
    </w:p>
    <w:p>
      <w:pPr>
        <w:autoSpaceDE w:val="0"/>
        <w:autoSpaceDN w:val="0"/>
        <w:adjustRightInd w:val="0"/>
        <w:spacing w:line="600" w:lineRule="exact"/>
        <w:ind w:firstLine="640" w:firstLineChars="200"/>
        <w:rPr>
          <w:rFonts w:hint="default" w:ascii="Times New Roman" w:hAnsi="Times New Roman" w:eastAsia="仿宋_GB2312" w:cs="Times New Roman"/>
          <w:sz w:val="32"/>
          <w:szCs w:val="32"/>
          <w:lang w:val="en-US" w:eastAsia="zh-CN"/>
        </w:rPr>
      </w:pPr>
    </w:p>
    <w:p>
      <w:pPr>
        <w:autoSpaceDE w:val="0"/>
        <w:autoSpaceDN w:val="0"/>
        <w:adjustRightInd w:val="0"/>
        <w:spacing w:line="600" w:lineRule="exact"/>
        <w:ind w:firstLine="640" w:firstLineChars="200"/>
        <w:rPr>
          <w:rFonts w:hint="default" w:ascii="Times New Roman" w:hAnsi="Times New Roman" w:eastAsia="方正小标宋简体" w:cs="Times New Roman"/>
          <w:color w:val="auto"/>
          <w:sz w:val="44"/>
          <w:szCs w:val="44"/>
          <w:lang w:val="en-US" w:eastAsia="zh-CN"/>
        </w:rPr>
      </w:pPr>
      <w:r>
        <w:rPr>
          <w:rFonts w:hint="eastAsia" w:ascii="Times New Roman" w:hAnsi="Times New Roman" w:eastAsia="仿宋_GB2312" w:cs="Times New Roman"/>
          <w:color w:val="auto"/>
          <w:sz w:val="32"/>
          <w:szCs w:val="32"/>
          <w:lang w:val="en-US" w:eastAsia="zh-CN"/>
        </w:rPr>
        <w:t>2022年省财政厅下达区新增地方政府一般债券2200万元，新增地方政府专项债券66000万元，再融资一般债券52254万元，合计120454万元。截至2022年12月末，天元区政府债券还本52257万元，政府债务余额为871513万元（全部为政府债券），控制在省财政厅核定我区政府</w:t>
      </w:r>
      <w:bookmarkStart w:id="0" w:name="_GoBack"/>
      <w:bookmarkEnd w:id="0"/>
      <w:r>
        <w:rPr>
          <w:rFonts w:hint="eastAsia" w:ascii="Times New Roman" w:hAnsi="Times New Roman" w:eastAsia="仿宋_GB2312" w:cs="Times New Roman"/>
          <w:color w:val="auto"/>
          <w:sz w:val="32"/>
          <w:szCs w:val="32"/>
          <w:lang w:val="en-US" w:eastAsia="zh-CN"/>
        </w:rPr>
        <w:t>债务限额之内。</w:t>
      </w:r>
    </w:p>
    <w:p>
      <w:pPr>
        <w:autoSpaceDE w:val="0"/>
        <w:autoSpaceDN w:val="0"/>
        <w:adjustRightInd w:val="0"/>
        <w:spacing w:line="600" w:lineRule="exact"/>
        <w:ind w:firstLine="880" w:firstLineChars="200"/>
        <w:rPr>
          <w:rFonts w:hint="default" w:ascii="Times New Roman" w:hAnsi="Times New Roman" w:eastAsia="方正小标宋简体" w:cs="Times New Roman"/>
          <w:color w:val="FF0000"/>
          <w:sz w:val="44"/>
          <w:szCs w:val="44"/>
          <w:lang w:val="en-US" w:eastAsia="zh-CN"/>
        </w:rPr>
      </w:pPr>
    </w:p>
    <w:p>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pPr>
        <w:pStyle w:val="2"/>
        <w:rPr>
          <w:rFonts w:hint="default" w:ascii="Times New Roman" w:hAnsi="Times New Roman" w:eastAsia="方正小标宋简体" w:cs="Times New Roman"/>
          <w:sz w:val="44"/>
          <w:szCs w:val="44"/>
          <w:lang w:val="en-US" w:eastAsia="zh-CN"/>
        </w:rPr>
      </w:pPr>
    </w:p>
    <w:p>
      <w:pPr>
        <w:rPr>
          <w:rFonts w:hint="default"/>
          <w:lang w:val="en-US" w:eastAsia="zh-CN"/>
        </w:rPr>
      </w:pPr>
    </w:p>
    <w:p>
      <w:pPr>
        <w:pStyle w:val="2"/>
        <w:rPr>
          <w:rFonts w:hint="default"/>
          <w:lang w:val="en-US" w:eastAsia="zh-CN"/>
        </w:rPr>
      </w:pPr>
    </w:p>
    <w:p>
      <w:pPr>
        <w:numPr>
          <w:ilvl w:val="0"/>
          <w:numId w:val="0"/>
        </w:num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2022年财政预算绩效管理工作情况</w:t>
      </w:r>
    </w:p>
    <w:p>
      <w:pPr>
        <w:numPr>
          <w:ilvl w:val="0"/>
          <w:numId w:val="0"/>
        </w:numPr>
        <w:jc w:val="center"/>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jc w:val="left"/>
        <w:textAlignment w:val="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近年来，区财政全面贯彻中央、省、市文件精神，紧紧围绕建立“全方位、全过程、全覆盖”的预算绩效管理体系目标要求，积极改革创新，不断夯实基础，努力提质扩面，取得较好工作成效。先后荣获省预算绩效管理工作先进县市区财政部门、市预算绩效管理先进一类单位，2021年作为株洲市唯一代表获批“湖南省全面实施预算绩效管理重点区”创建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jc w:val="left"/>
        <w:textAlignment w:val="auto"/>
        <w:rPr>
          <w:rFonts w:hint="default" w:ascii="仿宋_GB2312" w:hAnsi="仿宋_GB2312" w:eastAsia="仿宋_GB2312" w:cs="仿宋_GB2312"/>
          <w:b/>
          <w:bCs/>
          <w:sz w:val="30"/>
          <w:szCs w:val="30"/>
          <w:lang w:val="en-US" w:eastAsia="zh-CN"/>
        </w:rPr>
      </w:pPr>
      <w:r>
        <w:rPr>
          <w:rFonts w:hint="default" w:ascii="仿宋_GB2312" w:hAnsi="仿宋_GB2312" w:eastAsia="仿宋_GB2312" w:cs="仿宋_GB2312"/>
          <w:b/>
          <w:bCs/>
          <w:sz w:val="30"/>
          <w:szCs w:val="30"/>
          <w:lang w:val="en-US" w:eastAsia="zh-CN"/>
        </w:rPr>
        <w:t>（一）工作成效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jc w:val="left"/>
        <w:textAlignment w:val="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b/>
          <w:bCs/>
          <w:i w:val="0"/>
          <w:iCs w:val="0"/>
          <w:sz w:val="30"/>
          <w:szCs w:val="30"/>
          <w:lang w:val="en-US" w:eastAsia="zh-CN"/>
        </w:rPr>
        <w:t>1.建制度，夯实基础工作。</w:t>
      </w:r>
      <w:r>
        <w:rPr>
          <w:rFonts w:hint="default" w:ascii="仿宋_GB2312" w:hAnsi="仿宋_GB2312" w:eastAsia="仿宋_GB2312" w:cs="仿宋_GB2312"/>
          <w:sz w:val="30"/>
          <w:szCs w:val="30"/>
          <w:lang w:val="en-US" w:eastAsia="zh-CN"/>
        </w:rPr>
        <w:t>不断建立完善预算绩效管理制度，理清预算绩效管理工作框架流程，先后出台《关于推进预算绩效管理的实施意见》《株洲市天元区预算绩效管理暂行办法》《株洲市天元区财政局关于预算绩效管理职责分工的通知》。2021年印发《株洲市天元区行政事业单位财务管理制度》，对绩效目标管理、事前评估、事中监控、事后评价、结果应用等方面进行规范，为推进绩效管理打下坚实的制度基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jc w:val="left"/>
        <w:textAlignment w:val="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b/>
          <w:bCs/>
          <w:sz w:val="30"/>
          <w:szCs w:val="30"/>
          <w:lang w:val="en-US" w:eastAsia="zh-CN"/>
        </w:rPr>
        <w:t>2.抓源头，规范目标设置。</w:t>
      </w:r>
      <w:r>
        <w:rPr>
          <w:rFonts w:hint="default" w:ascii="仿宋_GB2312" w:hAnsi="仿宋_GB2312" w:eastAsia="仿宋_GB2312" w:cs="仿宋_GB2312"/>
          <w:sz w:val="30"/>
          <w:szCs w:val="30"/>
          <w:lang w:val="en-US" w:eastAsia="zh-CN"/>
        </w:rPr>
        <w:t>不断完善预算绩效目标管理，将预算绩效目标管理前移至预算审核关口，重点加强对绩效目标相关性、完整性、适当性、可行性等进行审核，采取培训和审核相结合的工作模式，指导预算单位在“指向明确、相应匹配、合理可行、细化量化”上下功夫，明晰具体产出和社会经济效益，提升绩效目标的编报质量。</w:t>
      </w:r>
      <w:r>
        <w:rPr>
          <w:rFonts w:hint="default" w:ascii="仿宋_GB2312" w:hAnsi="仿宋_GB2312" w:eastAsia="仿宋_GB2312" w:cs="仿宋_GB2312"/>
          <w:sz w:val="30"/>
          <w:szCs w:val="30"/>
          <w:highlight w:val="none"/>
          <w:lang w:val="en-US" w:eastAsia="zh-CN"/>
        </w:rPr>
        <w:t>202</w:t>
      </w:r>
      <w:r>
        <w:rPr>
          <w:rFonts w:hint="eastAsia" w:ascii="仿宋_GB2312" w:hAnsi="仿宋_GB2312" w:eastAsia="仿宋_GB2312" w:cs="仿宋_GB2312"/>
          <w:sz w:val="30"/>
          <w:szCs w:val="30"/>
          <w:highlight w:val="none"/>
          <w:lang w:val="en-US" w:eastAsia="zh-CN"/>
        </w:rPr>
        <w:t>2</w:t>
      </w:r>
      <w:r>
        <w:rPr>
          <w:rFonts w:hint="default" w:ascii="仿宋_GB2312" w:hAnsi="仿宋_GB2312" w:eastAsia="仿宋_GB2312" w:cs="仿宋_GB2312"/>
          <w:sz w:val="30"/>
          <w:szCs w:val="30"/>
          <w:highlight w:val="none"/>
          <w:lang w:val="en-US" w:eastAsia="zh-CN"/>
        </w:rPr>
        <w:t>年</w:t>
      </w:r>
      <w:r>
        <w:rPr>
          <w:rFonts w:hint="default" w:ascii="仿宋_GB2312" w:hAnsi="仿宋_GB2312" w:eastAsia="仿宋_GB2312" w:cs="仿宋_GB2312"/>
          <w:sz w:val="30"/>
          <w:szCs w:val="30"/>
          <w:lang w:val="en-US" w:eastAsia="zh-CN"/>
        </w:rPr>
        <w:t>的绩效目标与部门预算同步申报、同步批复、同步公开，基本实现了绩效目标管理“全覆盖”和“三同步”。今年，</w:t>
      </w:r>
      <w:r>
        <w:rPr>
          <w:rFonts w:hint="eastAsia" w:ascii="仿宋_GB2312" w:hAnsi="仿宋_GB2312" w:eastAsia="仿宋_GB2312" w:cs="仿宋_GB2312"/>
          <w:sz w:val="30"/>
          <w:szCs w:val="30"/>
          <w:highlight w:val="none"/>
          <w:lang w:val="en-US" w:eastAsia="zh-CN"/>
        </w:rPr>
        <w:t>117</w:t>
      </w:r>
      <w:r>
        <w:rPr>
          <w:rFonts w:hint="default" w:ascii="仿宋_GB2312" w:hAnsi="仿宋_GB2312" w:eastAsia="仿宋_GB2312" w:cs="仿宋_GB2312"/>
          <w:sz w:val="30"/>
          <w:szCs w:val="30"/>
          <w:highlight w:val="none"/>
          <w:lang w:val="en-US" w:eastAsia="zh-CN"/>
        </w:rPr>
        <w:t>家预算单位一般公共预算资金</w:t>
      </w:r>
      <w:r>
        <w:rPr>
          <w:rFonts w:hint="eastAsia" w:ascii="仿宋_GB2312" w:hAnsi="仿宋_GB2312" w:eastAsia="仿宋_GB2312" w:cs="仿宋_GB2312"/>
          <w:sz w:val="30"/>
          <w:szCs w:val="30"/>
          <w:highlight w:val="none"/>
          <w:lang w:val="en-US" w:eastAsia="zh-CN"/>
        </w:rPr>
        <w:t>8.39亿元</w:t>
      </w:r>
      <w:r>
        <w:rPr>
          <w:rFonts w:hint="default" w:ascii="仿宋_GB2312" w:hAnsi="仿宋_GB2312" w:eastAsia="仿宋_GB2312" w:cs="仿宋_GB2312"/>
          <w:sz w:val="30"/>
          <w:szCs w:val="30"/>
          <w:highlight w:val="none"/>
          <w:lang w:val="en-US" w:eastAsia="zh-CN"/>
        </w:rPr>
        <w:t>申报了部门整体绩效目标，</w:t>
      </w:r>
      <w:r>
        <w:rPr>
          <w:rFonts w:hint="eastAsia" w:ascii="仿宋_GB2312" w:hAnsi="仿宋_GB2312" w:eastAsia="仿宋_GB2312" w:cs="仿宋_GB2312"/>
          <w:sz w:val="30"/>
          <w:szCs w:val="30"/>
          <w:highlight w:val="none"/>
          <w:lang w:val="en-US" w:eastAsia="zh-CN"/>
        </w:rPr>
        <w:t>项目经费14.62亿</w:t>
      </w:r>
      <w:r>
        <w:rPr>
          <w:rFonts w:hint="default" w:ascii="仿宋_GB2312" w:hAnsi="仿宋_GB2312" w:eastAsia="仿宋_GB2312" w:cs="仿宋_GB2312"/>
          <w:sz w:val="30"/>
          <w:szCs w:val="30"/>
          <w:highlight w:val="none"/>
          <w:lang w:val="en-US" w:eastAsia="zh-CN"/>
        </w:rPr>
        <w:t>元申报了专项资金绩效目标，根据专项资金的特性和具体实施内容，对专项资金在本年度产出的数量、质量、时效、成本</w:t>
      </w:r>
      <w:r>
        <w:rPr>
          <w:rFonts w:hint="default" w:ascii="仿宋_GB2312" w:hAnsi="仿宋_GB2312" w:eastAsia="仿宋_GB2312" w:cs="仿宋_GB2312"/>
          <w:sz w:val="30"/>
          <w:szCs w:val="30"/>
          <w:lang w:val="en-US" w:eastAsia="zh-CN"/>
        </w:rPr>
        <w:t>，经济、社会、环境效益及可持续影响等进行了细化。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lang w:val="en-US" w:eastAsia="zh-CN"/>
        </w:rPr>
        <w:t>3.</w:t>
      </w:r>
      <w:r>
        <w:rPr>
          <w:rFonts w:hint="default" w:ascii="仿宋_GB2312" w:hAnsi="仿宋_GB2312" w:eastAsia="仿宋_GB2312" w:cs="仿宋_GB2312"/>
          <w:b/>
          <w:bCs/>
          <w:sz w:val="30"/>
          <w:szCs w:val="30"/>
          <w:lang w:val="en-US" w:eastAsia="zh-CN"/>
        </w:rPr>
        <w:t>重过程，强化绩效监控。</w:t>
      </w:r>
      <w:r>
        <w:rPr>
          <w:rFonts w:hint="default" w:ascii="仿宋_GB2312" w:hAnsi="仿宋_GB2312" w:eastAsia="仿宋_GB2312" w:cs="仿宋_GB2312"/>
          <w:sz w:val="30"/>
          <w:szCs w:val="30"/>
          <w:lang w:val="en-US" w:eastAsia="zh-CN"/>
        </w:rPr>
        <w:t>建立预算资金绩效运行监控机制，对绩效目标实现程度和预算执行进度实行“双监控”，预算单位对资金的使用和管理情况全程自行跟踪监控，财政部门选择对200万元以上的专项资金预算执行进度及绩效目标实现情况进行重点监管，并定期进行信息收集、审核、汇总、分析，对监控发现的问题实时提醒和督促纠正，确保绩效目标的实现。202</w:t>
      </w:r>
      <w:r>
        <w:rPr>
          <w:rFonts w:hint="eastAsia" w:ascii="仿宋_GB2312" w:hAnsi="仿宋_GB2312" w:eastAsia="仿宋_GB2312" w:cs="仿宋_GB2312"/>
          <w:sz w:val="30"/>
          <w:szCs w:val="30"/>
          <w:lang w:val="en-US" w:eastAsia="zh-CN"/>
        </w:rPr>
        <w:t>2</w:t>
      </w:r>
      <w:r>
        <w:rPr>
          <w:rFonts w:hint="default" w:ascii="仿宋_GB2312" w:hAnsi="仿宋_GB2312" w:eastAsia="仿宋_GB2312" w:cs="仿宋_GB2312"/>
          <w:sz w:val="30"/>
          <w:szCs w:val="30"/>
          <w:lang w:val="en-US" w:eastAsia="zh-CN"/>
        </w:rPr>
        <w:t>年10月，根据《株洲市天元区财政局关于做好2022年预算绩效管理工作的通知》（株天财〔2022〕7号）</w:t>
      </w:r>
      <w:r>
        <w:rPr>
          <w:rFonts w:hint="eastAsia" w:ascii="仿宋_GB2312" w:hAnsi="仿宋_GB2312" w:eastAsia="仿宋_GB2312" w:cs="仿宋_GB2312"/>
          <w:sz w:val="30"/>
          <w:szCs w:val="30"/>
          <w:lang w:val="en-US" w:eastAsia="zh-CN"/>
        </w:rPr>
        <w:t>要求</w:t>
      </w:r>
      <w:r>
        <w:rPr>
          <w:rFonts w:hint="default" w:ascii="仿宋_GB2312" w:hAnsi="仿宋_GB2312" w:eastAsia="仿宋_GB2312" w:cs="仿宋_GB2312"/>
          <w:sz w:val="30"/>
          <w:szCs w:val="30"/>
          <w:lang w:val="en-US" w:eastAsia="zh-CN"/>
        </w:rPr>
        <w:t>各预算单位针对200万元以上的项目资金填写2022年度项目支出绩效目标执行监控表，偏差低于75%的，要求预算单位提交情况说明，提出下一步整改措施。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jc w:val="left"/>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b/>
          <w:bCs/>
          <w:sz w:val="30"/>
          <w:szCs w:val="30"/>
          <w:lang w:val="en-US" w:eastAsia="zh-CN"/>
        </w:rPr>
        <w:t>4</w:t>
      </w:r>
      <w:r>
        <w:rPr>
          <w:rFonts w:hint="default" w:ascii="仿宋_GB2312" w:hAnsi="仿宋_GB2312" w:eastAsia="仿宋_GB2312" w:cs="仿宋_GB2312"/>
          <w:b/>
          <w:bCs/>
          <w:sz w:val="30"/>
          <w:szCs w:val="30"/>
          <w:lang w:val="en-US" w:eastAsia="zh-CN"/>
        </w:rPr>
        <w:t>.硬约束，做真绩效评价。</w:t>
      </w:r>
      <w:r>
        <w:rPr>
          <w:rFonts w:hint="eastAsia" w:ascii="仿宋_GB2312" w:hAnsi="仿宋_GB2312" w:eastAsia="仿宋_GB2312" w:cs="仿宋_GB2312"/>
          <w:sz w:val="30"/>
          <w:szCs w:val="30"/>
          <w:lang w:val="en-US" w:eastAsia="zh-CN"/>
        </w:rPr>
        <w:t>今年，全区117家预算单位针对部门整体支出26.24亿元，专项资金15.84亿元进行了绩效自评，撰写了绩效自评报告，并同2021年度部门决算一起公开。今年，我局聘请并委托湖南建业、湖南天信兴业、湖南天岳三家会计师事务所对动力谷创新发展资金、一般债资金、涉粮资金、道路建设资金等10个重点项目涉及资金2.88亿元开展重点绩效评价，并严格执行评价程序，要求《现场评价底稿》、《现场评价回执》、《财政业务科室绩效报告反馈意见》等过程文件不漏项，确保工作不走过场，落到实处。同时为强化绩效评价结果的运用，2021年对开展财政重点绩效评价的15个项目财政绩效评价结果预算安排参考调整额达3500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jc w:val="left"/>
        <w:textAlignment w:val="auto"/>
        <w:rPr>
          <w:rFonts w:hint="default" w:ascii="仿宋_GB2312" w:hAnsi="仿宋_GB2312" w:eastAsia="仿宋_GB2312" w:cs="仿宋_GB2312"/>
          <w:b/>
          <w:bCs/>
          <w:sz w:val="30"/>
          <w:szCs w:val="30"/>
          <w:highlight w:val="none"/>
          <w:lang w:val="en-US" w:eastAsia="zh-CN"/>
        </w:rPr>
      </w:pPr>
      <w:r>
        <w:rPr>
          <w:rFonts w:hint="default" w:ascii="仿宋_GB2312" w:hAnsi="仿宋_GB2312" w:eastAsia="仿宋_GB2312" w:cs="仿宋_GB2312"/>
          <w:b/>
          <w:bCs/>
          <w:sz w:val="30"/>
          <w:szCs w:val="30"/>
          <w:highlight w:val="none"/>
          <w:lang w:val="en-US" w:eastAsia="zh-CN"/>
        </w:rPr>
        <w:t>（</w:t>
      </w:r>
      <w:r>
        <w:rPr>
          <w:rFonts w:hint="eastAsia" w:ascii="仿宋_GB2312" w:hAnsi="仿宋_GB2312" w:eastAsia="仿宋_GB2312" w:cs="仿宋_GB2312"/>
          <w:b/>
          <w:bCs/>
          <w:sz w:val="30"/>
          <w:szCs w:val="30"/>
          <w:highlight w:val="none"/>
          <w:lang w:val="en-US" w:eastAsia="zh-CN"/>
        </w:rPr>
        <w:t>二</w:t>
      </w:r>
      <w:r>
        <w:rPr>
          <w:rFonts w:hint="default" w:ascii="仿宋_GB2312" w:hAnsi="仿宋_GB2312" w:eastAsia="仿宋_GB2312" w:cs="仿宋_GB2312"/>
          <w:b/>
          <w:bCs/>
          <w:sz w:val="30"/>
          <w:szCs w:val="30"/>
          <w:highlight w:val="none"/>
          <w:lang w:val="en-US" w:eastAsia="zh-CN"/>
        </w:rPr>
        <w:t>）存在的主要问题和不足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jc w:val="left"/>
        <w:textAlignment w:val="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b/>
          <w:bCs/>
          <w:sz w:val="30"/>
          <w:szCs w:val="30"/>
          <w:lang w:val="en-US" w:eastAsia="zh-CN"/>
        </w:rPr>
        <w:t>1.绩效管理理念不够深入。</w:t>
      </w:r>
      <w:r>
        <w:rPr>
          <w:rFonts w:hint="default" w:ascii="仿宋_GB2312" w:hAnsi="仿宋_GB2312" w:eastAsia="仿宋_GB2312" w:cs="仿宋_GB2312"/>
          <w:sz w:val="30"/>
          <w:szCs w:val="30"/>
          <w:lang w:val="en-US" w:eastAsia="zh-CN"/>
        </w:rPr>
        <w:t>部分部门和领导干部对绩效管理仍重视不够、认识不深，思想依旧停留在“如何要钱、如何花钱和如何完成任务”上，单位内部业务</w:t>
      </w:r>
      <w:r>
        <w:rPr>
          <w:rFonts w:hint="eastAsia" w:ascii="仿宋_GB2312" w:hAnsi="仿宋_GB2312" w:eastAsia="仿宋_GB2312" w:cs="仿宋_GB2312"/>
          <w:sz w:val="30"/>
          <w:szCs w:val="30"/>
          <w:lang w:val="en-US" w:eastAsia="zh-CN"/>
        </w:rPr>
        <w:t>部门</w:t>
      </w:r>
      <w:r>
        <w:rPr>
          <w:rFonts w:hint="default" w:ascii="仿宋_GB2312" w:hAnsi="仿宋_GB2312" w:eastAsia="仿宋_GB2312" w:cs="仿宋_GB2312"/>
          <w:sz w:val="30"/>
          <w:szCs w:val="30"/>
          <w:lang w:val="en-US" w:eastAsia="zh-CN"/>
        </w:rPr>
        <w:t>和财务部门沟通不顺畅，工作脱节。绩效管理主体责任不清，工作落实比较欠缺，存在绩效目标设定</w:t>
      </w:r>
      <w:r>
        <w:rPr>
          <w:rFonts w:hint="eastAsia" w:ascii="仿宋_GB2312" w:hAnsi="仿宋_GB2312" w:eastAsia="仿宋_GB2312" w:cs="仿宋_GB2312"/>
          <w:sz w:val="30"/>
          <w:szCs w:val="30"/>
          <w:lang w:val="en-US" w:eastAsia="zh-CN"/>
        </w:rPr>
        <w:t>不科学</w:t>
      </w:r>
      <w:r>
        <w:rPr>
          <w:rFonts w:hint="default" w:ascii="仿宋_GB2312" w:hAnsi="仿宋_GB2312" w:eastAsia="仿宋_GB2312" w:cs="仿宋_GB2312"/>
          <w:sz w:val="30"/>
          <w:szCs w:val="30"/>
          <w:lang w:val="en-US" w:eastAsia="zh-CN"/>
        </w:rPr>
        <w:t>、无相应</w:t>
      </w:r>
      <w:r>
        <w:rPr>
          <w:rFonts w:hint="eastAsia" w:ascii="仿宋_GB2312" w:hAnsi="仿宋_GB2312" w:eastAsia="仿宋_GB2312" w:cs="仿宋_GB2312"/>
          <w:sz w:val="30"/>
          <w:szCs w:val="30"/>
          <w:lang w:val="en-US" w:eastAsia="zh-CN"/>
        </w:rPr>
        <w:t>资金</w:t>
      </w:r>
      <w:r>
        <w:rPr>
          <w:rFonts w:hint="default" w:ascii="仿宋_GB2312" w:hAnsi="仿宋_GB2312" w:eastAsia="仿宋_GB2312" w:cs="仿宋_GB2312"/>
          <w:sz w:val="30"/>
          <w:szCs w:val="30"/>
          <w:lang w:val="en-US" w:eastAsia="zh-CN"/>
        </w:rPr>
        <w:t>管理制度、无自我评估报告，重投入轻效益，结果分析浮在面上、缺乏深度。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jc w:val="left"/>
        <w:textAlignment w:val="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b/>
          <w:bCs/>
          <w:sz w:val="30"/>
          <w:szCs w:val="30"/>
          <w:lang w:val="en-US" w:eastAsia="zh-CN"/>
        </w:rPr>
        <w:t>2.绩效目标管理有待提质。</w:t>
      </w:r>
      <w:r>
        <w:rPr>
          <w:rFonts w:hint="default" w:ascii="仿宋_GB2312" w:hAnsi="仿宋_GB2312" w:eastAsia="仿宋_GB2312" w:cs="仿宋_GB2312"/>
          <w:sz w:val="30"/>
          <w:szCs w:val="30"/>
          <w:lang w:val="en-US" w:eastAsia="zh-CN"/>
        </w:rPr>
        <w:t>绩效目标是绩效管理的基础和起点，直接影响整体绩效管理工作的质量和效果，但项目目标空泛，成本指标虚化、质量指标弱化、效益指标软化等问题较为突出。一是部分业务主管部门对项目决策前期准备不充分、程序不到位；二是未对专项资金设立与资金规模匹配、细化量化、可监督可评价的绩效目标及指标；三是在资金分配过程中，申报项目未设定合理的绩效目标及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jc w:val="left"/>
        <w:textAlignment w:val="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b/>
          <w:bCs/>
          <w:sz w:val="30"/>
          <w:szCs w:val="30"/>
          <w:lang w:val="en-US" w:eastAsia="zh-CN"/>
        </w:rPr>
        <w:t>3.绩效</w:t>
      </w:r>
      <w:r>
        <w:rPr>
          <w:rFonts w:hint="eastAsia" w:ascii="仿宋_GB2312" w:hAnsi="仿宋_GB2312" w:eastAsia="仿宋_GB2312" w:cs="仿宋_GB2312"/>
          <w:b/>
          <w:bCs/>
          <w:sz w:val="30"/>
          <w:szCs w:val="30"/>
          <w:lang w:val="en-US" w:eastAsia="zh-CN"/>
        </w:rPr>
        <w:t>评价质量有待提升</w:t>
      </w:r>
      <w:r>
        <w:rPr>
          <w:rFonts w:hint="default" w:ascii="仿宋_GB2312" w:hAnsi="仿宋_GB2312" w:eastAsia="仿宋_GB2312" w:cs="仿宋_GB2312"/>
          <w:b/>
          <w:bCs/>
          <w:sz w:val="30"/>
          <w:szCs w:val="30"/>
          <w:lang w:val="en-US" w:eastAsia="zh-CN"/>
        </w:rPr>
        <w:t>。</w:t>
      </w:r>
      <w:r>
        <w:rPr>
          <w:rFonts w:hint="default" w:ascii="仿宋_GB2312" w:hAnsi="仿宋_GB2312" w:eastAsia="仿宋_GB2312" w:cs="仿宋_GB2312"/>
          <w:sz w:val="30"/>
          <w:szCs w:val="30"/>
          <w:lang w:val="en-US" w:eastAsia="zh-CN"/>
        </w:rPr>
        <w:t>今年，全区117家预算单位针对部门整体支出26.24亿元，专项资金15.84亿元进行了绩效自评</w:t>
      </w:r>
      <w:r>
        <w:rPr>
          <w:rFonts w:hint="eastAsia" w:ascii="仿宋_GB2312" w:hAnsi="仿宋_GB2312" w:eastAsia="仿宋_GB2312" w:cs="仿宋_GB2312"/>
          <w:sz w:val="30"/>
          <w:szCs w:val="30"/>
          <w:lang w:val="en-US" w:eastAsia="zh-CN"/>
        </w:rPr>
        <w:t>。其中部门整体支出绩效自评平均分是95.91分，项目支出自评分普遍在90分以上，存在评价结论不客观，未深入分析并全面反映项目实施过程及绩效目标完成情况，反映内容不全面，对于后续工作的指导性不强，进而使得财政部门无法进行有效的分析和应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lang w:val="en-US" w:eastAsia="zh-CN"/>
        </w:rPr>
        <w:t>4.预算单位专项资金管理有待加强。</w:t>
      </w:r>
      <w:r>
        <w:rPr>
          <w:rFonts w:hint="eastAsia" w:ascii="仿宋_GB2312" w:hAnsi="仿宋_GB2312" w:eastAsia="仿宋_GB2312" w:cs="仿宋_GB2312"/>
          <w:sz w:val="30"/>
          <w:szCs w:val="30"/>
          <w:lang w:val="en-US" w:eastAsia="zh-CN"/>
        </w:rPr>
        <w:t>我区部分公共专项资金的预算申报部门与资金使用部门不一致，主管部门对专项资金监控力度较弱，对资金的使用情况不清楚，导致绩效评价主体职责不清。同时，</w:t>
      </w:r>
      <w:r>
        <w:rPr>
          <w:rFonts w:hint="default" w:ascii="仿宋_GB2312" w:hAnsi="仿宋_GB2312" w:eastAsia="仿宋_GB2312" w:cs="仿宋_GB2312"/>
          <w:sz w:val="30"/>
          <w:szCs w:val="30"/>
          <w:lang w:val="en-US" w:eastAsia="zh-CN"/>
        </w:rPr>
        <w:t>主管部门对专项资金管理不规范，项目资金管理办法不完善，存在办法与实际情况脱节</w:t>
      </w:r>
      <w:r>
        <w:rPr>
          <w:rFonts w:hint="eastAsia" w:ascii="仿宋_GB2312" w:hAnsi="仿宋_GB2312" w:eastAsia="仿宋_GB2312" w:cs="仿宋_GB2312"/>
          <w:sz w:val="30"/>
          <w:szCs w:val="30"/>
          <w:lang w:val="en-US" w:eastAsia="zh-CN"/>
        </w:rPr>
        <w:t>；</w:t>
      </w:r>
      <w:r>
        <w:rPr>
          <w:rFonts w:hint="default" w:ascii="仿宋_GB2312" w:hAnsi="仿宋_GB2312" w:eastAsia="仿宋_GB2312" w:cs="仿宋_GB2312"/>
          <w:sz w:val="30"/>
          <w:szCs w:val="30"/>
          <w:lang w:val="en-US" w:eastAsia="zh-CN"/>
        </w:rPr>
        <w:t>资金管理不严格，存在改变用途、超范围列支、行政经费挤占专项资金等突出问题。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（三）2023年工作计划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w:t>
      </w:r>
      <w:r>
        <w:rPr>
          <w:rFonts w:hint="default" w:ascii="仿宋_GB2312" w:hAnsi="仿宋_GB2312" w:eastAsia="仿宋_GB2312" w:cs="仿宋_GB2312"/>
          <w:sz w:val="30"/>
          <w:szCs w:val="30"/>
          <w:lang w:val="en-US" w:eastAsia="zh-CN"/>
        </w:rPr>
        <w:t>是加强预算事前绩效评估和绩效目标管理</w:t>
      </w:r>
      <w:r>
        <w:rPr>
          <w:rFonts w:hint="eastAsia" w:ascii="仿宋_GB2312" w:hAnsi="仿宋_GB2312" w:eastAsia="仿宋_GB2312" w:cs="仿宋_GB2312"/>
          <w:sz w:val="30"/>
          <w:szCs w:val="30"/>
          <w:lang w:val="en-US" w:eastAsia="zh-CN"/>
        </w:rPr>
        <w:t>。将事前绩效评估、绩效目标结果作为项目入库和预算安排的前置条件。</w:t>
      </w:r>
      <w:r>
        <w:rPr>
          <w:rFonts w:hint="default" w:ascii="仿宋_GB2312" w:hAnsi="仿宋_GB2312" w:eastAsia="仿宋_GB2312" w:cs="仿宋_GB2312"/>
          <w:sz w:val="30"/>
          <w:szCs w:val="30"/>
          <w:lang w:val="en-US" w:eastAsia="zh-CN"/>
        </w:rPr>
        <w:t>要求申报预算项目时必须同步申报绩效目标，否则不予安排预算。同时，加大审核力度，从源头上夯实绩效工作开展的基础</w:t>
      </w:r>
      <w:r>
        <w:rPr>
          <w:rFonts w:hint="eastAsia" w:ascii="仿宋_GB2312" w:hAnsi="仿宋_GB2312" w:eastAsia="仿宋_GB2312" w:cs="仿宋_GB2312"/>
          <w:sz w:val="30"/>
          <w:szCs w:val="30"/>
          <w:lang w:val="en-US" w:eastAsia="zh-CN"/>
        </w:rPr>
        <w:t>，做到绩效目标细化、量化，设置规范，合理可执行。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w:t>
      </w:r>
      <w:r>
        <w:rPr>
          <w:rFonts w:hint="default" w:ascii="仿宋_GB2312" w:hAnsi="仿宋_GB2312" w:eastAsia="仿宋_GB2312" w:cs="仿宋_GB2312"/>
          <w:sz w:val="30"/>
          <w:szCs w:val="30"/>
          <w:lang w:val="en-US" w:eastAsia="zh-CN"/>
        </w:rPr>
        <w:t>是</w:t>
      </w:r>
      <w:r>
        <w:rPr>
          <w:rFonts w:hint="eastAsia" w:ascii="仿宋_GB2312" w:hAnsi="仿宋_GB2312" w:eastAsia="仿宋_GB2312" w:cs="仿宋_GB2312"/>
          <w:sz w:val="30"/>
          <w:szCs w:val="30"/>
          <w:lang w:val="en-US" w:eastAsia="zh-CN"/>
        </w:rPr>
        <w:t>强化</w:t>
      </w:r>
      <w:r>
        <w:rPr>
          <w:rFonts w:hint="default" w:ascii="仿宋_GB2312" w:hAnsi="仿宋_GB2312" w:eastAsia="仿宋_GB2312" w:cs="仿宋_GB2312"/>
          <w:sz w:val="30"/>
          <w:szCs w:val="30"/>
          <w:lang w:val="en-US" w:eastAsia="zh-CN"/>
        </w:rPr>
        <w:t>绩效运行监控</w:t>
      </w:r>
      <w:r>
        <w:rPr>
          <w:rFonts w:hint="eastAsia" w:ascii="仿宋_GB2312" w:hAnsi="仿宋_GB2312" w:eastAsia="仿宋_GB2312" w:cs="仿宋_GB2312"/>
          <w:sz w:val="30"/>
          <w:szCs w:val="30"/>
          <w:lang w:val="en-US" w:eastAsia="zh-CN"/>
        </w:rPr>
        <w:t>监管力度</w:t>
      </w:r>
      <w:r>
        <w:rPr>
          <w:rFonts w:hint="default" w:ascii="仿宋_GB2312" w:hAnsi="仿宋_GB2312" w:eastAsia="仿宋_GB2312" w:cs="仿宋_GB2312"/>
          <w:sz w:val="30"/>
          <w:szCs w:val="30"/>
          <w:lang w:val="en-US" w:eastAsia="zh-CN"/>
        </w:rPr>
        <w:t>。深入开展区级部门日常监控、财政部门重点监控，对财政资金预算执行情况和绩效目标实现程度开展“双监控”，每年10月，财政部门对专项资金进行全面清理，对明显偏离绩效目标和预算执行进度较慢的项目督促及时整改，确保财政资金使用达到预期效果</w:t>
      </w:r>
      <w:r>
        <w:rPr>
          <w:rFonts w:hint="eastAsia" w:ascii="仿宋_GB2312" w:hAnsi="仿宋_GB2312" w:eastAsia="仿宋_GB2312" w:cs="仿宋_GB2312"/>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三</w:t>
      </w:r>
      <w:r>
        <w:rPr>
          <w:rFonts w:hint="default" w:ascii="仿宋_GB2312" w:hAnsi="仿宋_GB2312" w:eastAsia="仿宋_GB2312" w:cs="仿宋_GB2312"/>
          <w:sz w:val="30"/>
          <w:szCs w:val="30"/>
          <w:lang w:val="en-US" w:eastAsia="zh-CN"/>
        </w:rPr>
        <w:t>是</w:t>
      </w:r>
      <w:r>
        <w:rPr>
          <w:rFonts w:hint="eastAsia" w:ascii="仿宋_GB2312" w:hAnsi="仿宋_GB2312" w:eastAsia="仿宋_GB2312" w:cs="仿宋_GB2312"/>
          <w:sz w:val="30"/>
          <w:szCs w:val="30"/>
          <w:lang w:val="en-US" w:eastAsia="zh-CN"/>
        </w:rPr>
        <w:t>提升</w:t>
      </w:r>
      <w:r>
        <w:rPr>
          <w:rFonts w:hint="default" w:ascii="仿宋_GB2312" w:hAnsi="仿宋_GB2312" w:eastAsia="仿宋_GB2312" w:cs="仿宋_GB2312"/>
          <w:sz w:val="30"/>
          <w:szCs w:val="30"/>
          <w:lang w:val="en-US" w:eastAsia="zh-CN"/>
        </w:rPr>
        <w:t>绩效评价</w:t>
      </w:r>
      <w:r>
        <w:rPr>
          <w:rFonts w:hint="eastAsia" w:ascii="仿宋_GB2312" w:hAnsi="仿宋_GB2312" w:eastAsia="仿宋_GB2312" w:cs="仿宋_GB2312"/>
          <w:sz w:val="30"/>
          <w:szCs w:val="30"/>
          <w:lang w:val="en-US" w:eastAsia="zh-CN"/>
        </w:rPr>
        <w:t>质量</w:t>
      </w:r>
      <w:r>
        <w:rPr>
          <w:rFonts w:hint="default" w:ascii="仿宋_GB2312" w:hAnsi="仿宋_GB2312" w:eastAsia="仿宋_GB2312" w:cs="仿宋_GB2312"/>
          <w:sz w:val="30"/>
          <w:szCs w:val="30"/>
          <w:lang w:val="en-US" w:eastAsia="zh-CN"/>
        </w:rPr>
        <w:t>。扎实组织开展部门预算绩效自评工作，实现绩效自评覆盖所有预算单位。实现绩效评价扩围提质，拓展囊括一般公共预算、政府性基金预算、国有资本经营预算、社会保险基金预算等重点领域的绩效管理范围</w:t>
      </w:r>
      <w:r>
        <w:rPr>
          <w:rFonts w:hint="eastAsia" w:ascii="仿宋_GB2312" w:hAnsi="仿宋_GB2312" w:eastAsia="仿宋_GB2312" w:cs="仿宋_GB2312"/>
          <w:sz w:val="30"/>
          <w:szCs w:val="30"/>
          <w:lang w:val="en-US" w:eastAsia="zh-CN"/>
        </w:rPr>
        <w:t>。加强财政重点绩效评价。</w:t>
      </w:r>
      <w:r>
        <w:rPr>
          <w:rFonts w:hint="default" w:ascii="仿宋_GB2312" w:hAnsi="仿宋_GB2312" w:eastAsia="仿宋_GB2312" w:cs="仿宋_GB2312"/>
          <w:sz w:val="30"/>
          <w:szCs w:val="30"/>
          <w:lang w:val="en-US" w:eastAsia="zh-CN"/>
        </w:rPr>
        <w:t>选取专项资金和预算金额较大、对经济社会发展有较大影响的项目开展财政重点评价，强化评价质量管控，找准并批露问题，推进解决问题。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四</w:t>
      </w:r>
      <w:r>
        <w:rPr>
          <w:rFonts w:hint="default" w:ascii="仿宋_GB2312" w:hAnsi="仿宋_GB2312" w:eastAsia="仿宋_GB2312" w:cs="仿宋_GB2312"/>
          <w:sz w:val="30"/>
          <w:szCs w:val="30"/>
          <w:lang w:val="en-US" w:eastAsia="zh-CN"/>
        </w:rPr>
        <w:t>是</w:t>
      </w:r>
      <w:r>
        <w:rPr>
          <w:rFonts w:hint="eastAsia" w:ascii="仿宋_GB2312" w:hAnsi="仿宋_GB2312" w:eastAsia="仿宋_GB2312" w:cs="仿宋_GB2312"/>
          <w:sz w:val="30"/>
          <w:szCs w:val="30"/>
          <w:lang w:val="en-US" w:eastAsia="zh-CN"/>
        </w:rPr>
        <w:t>强化</w:t>
      </w:r>
      <w:r>
        <w:rPr>
          <w:rFonts w:hint="default" w:ascii="仿宋_GB2312" w:hAnsi="仿宋_GB2312" w:eastAsia="仿宋_GB2312" w:cs="仿宋_GB2312"/>
          <w:sz w:val="30"/>
          <w:szCs w:val="30"/>
          <w:lang w:val="en-US" w:eastAsia="zh-CN"/>
        </w:rPr>
        <w:t>绩效评价结果应用。健全绩效监控和评价结果反馈应用机制，将绩效结果与预算安排有机结合，把“花钱必问效，无效必问责”落到实处。将绩效监督与行政监督相结合，全面落实评价结果报告、通报、反馈、整改机制，将预算单位绩效管理结果纳入政府绩效评估体系。进一步完善绩效信息向人大报告和向社会公开机制，自觉接受人大和社会各界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jc w:val="left"/>
        <w:textAlignment w:val="auto"/>
        <w:rPr>
          <w:rFonts w:hint="default" w:ascii="仿宋_GB2312" w:hAnsi="仿宋_GB2312" w:eastAsia="仿宋_GB2312" w:cs="仿宋_GB2312"/>
          <w:sz w:val="30"/>
          <w:szCs w:val="30"/>
          <w:lang w:val="en-US" w:eastAsia="zh-CN"/>
        </w:rPr>
      </w:pPr>
    </w:p>
    <w:p>
      <w:pPr>
        <w:rPr>
          <w:rFonts w:hint="default" w:ascii="Times New Roman" w:hAnsi="Times New Roman" w:cs="Times New Roma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-8255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sz w:val="28"/>
                              <w:szCs w:val="28"/>
                              <w:lang w:eastAsia="zh-CN"/>
                            </w:rPr>
                          </w:pPr>
                          <w:r>
                            <w:rPr>
                              <w:rFonts w:hint="eastAsia"/>
                              <w:b/>
                              <w:bCs/>
                              <w:sz w:val="28"/>
                              <w:szCs w:val="28"/>
                              <w:lang w:eastAsia="zh-CN"/>
                            </w:rPr>
                            <w:fldChar w:fldCharType="begin"/>
                          </w:r>
                          <w:r>
                            <w:rPr>
                              <w:rFonts w:hint="eastAsia"/>
                              <w:b/>
                              <w:bCs/>
                              <w:sz w:val="28"/>
                              <w:szCs w:val="28"/>
                              <w:lang w:eastAsia="zh-CN"/>
                            </w:rPr>
                            <w:instrText xml:space="preserve"> PAGE  \* MERGEFORMAT </w:instrText>
                          </w:r>
                          <w:r>
                            <w:rPr>
                              <w:rFonts w:hint="eastAsia"/>
                              <w:b/>
                              <w:bCs/>
                              <w:sz w:val="28"/>
                              <w:szCs w:val="28"/>
                              <w:lang w:eastAsia="zh-CN"/>
                            </w:rPr>
                            <w:fldChar w:fldCharType="separate"/>
                          </w:r>
                          <w:r>
                            <w:rPr>
                              <w:rFonts w:hint="eastAsia"/>
                              <w:b/>
                              <w:bCs/>
                              <w:sz w:val="28"/>
                              <w:szCs w:val="28"/>
                              <w:lang w:eastAsia="zh-CN"/>
                            </w:rPr>
                            <w:t>2</w:t>
                          </w:r>
                          <w:r>
                            <w:rPr>
                              <w:rFonts w:hint="eastAsia"/>
                              <w:b/>
                              <w:bCs/>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65pt;height:144pt;width:144pt;mso-position-horizontal:center;mso-position-horizontal-relative:margin;mso-wrap-style:none;z-index:251658240;mso-width-relative:page;mso-height-relative:page;" filled="f" stroked="f" coordsize="21600,21600" o:gfxdata="UEsDBAoAAAAAAIdO4kAAAAAAAAAAAAAAAAAEAAAAZHJzL1BLAwQUAAAACACHTuJAN8pm6NUAAAAH&#10;AQAADwAAAGRycy9kb3ducmV2LnhtbE2PQU/DMAyF70j8h8hI3La0GxpVaTqJiXJEYt2BY9aYtlvj&#10;VEnWlX+Pd4Kbn5/13udiO9tBTOhD70hBukxAIDXO9NQqONTVIgMRoiajB0eo4AcDbMv7u0Lnxl3p&#10;E6d9bAWHUMi1gi7GMZcyNB1aHZZuRGLv23mrI0vfSuP1lcPtIFdJspFW98QNnR5x12Fz3l+sgl1V&#10;137C4IcvfK/Wp4/XJ3yblXp8SJMXEBHn+HcMN3xGh5KZju5CJohBAT8SFSzSNQh2V1nGi+Nt2DyD&#10;LAv5n7/8BVBLAwQUAAAACACHTuJAStvN/xICAAATBAAADgAAAGRycy9lMm9Eb2MueG1srVPLjtMw&#10;FN0j8Q+W9zRpEaOqajoqMypCqpiRCmLtOk4TyS/ZbpPyAfAHrNiw57v6HRw7SQcBK8TGvr7ve+7x&#10;8rZTkpyE843RBZ1OckqE5qZs9KGgH95vXswp8YHpkkmjRUHPwtPb1fNny9YuxMzURpbCESTRftHa&#10;gtYh2EWWeV4LxfzEWKFhrIxTLODpDlnpWIvsSmazPL/JWuNK6wwX3kN73xvpKuWvKsHDQ1V5EYgs&#10;KHoL6XTp3MczWy3Z4uCYrRs+tMH+oQvFGo2i11T3LDBydM0fqVTDnfGmChNuVGaqquEizYBppvlv&#10;0+xqZkWaBeB4e4XJ/7+0/N3p0ZGmxO4o0UxhRZevXy7ffly+fybTCE9r/QJeOwu/0L02XXQd9B7K&#10;OHVXORVvzENgB9DnK7iiC4THoPlsPs9h4rCND+TJnsKt8+GNMIpEoaAO20ugstPWh951dInVtNk0&#10;UkLPFlKTtqA3L1/lKeBqQXKpUSMO0TcbpdDtu2GCvSnPGMyZnhne8k2D4lvmwyNzoAIaBr3DA45K&#10;GhQxg0RJbdynv+mjPzYEKyUtqFVQDe5TIt9qbC6ycBTcKOxHQR/VnQFXsQ30kkQEuCBHsXJGfQTn&#10;17EGTExzVCpoGMW70NMbf4aL9To5Ha1rDnUfAN5ZFrZ6Z3ksE9Hzdn0MADNhHAHqURlwA/PSloZf&#10;Eqn96zt5Pf3l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3ymbo1QAAAAcBAAAPAAAAAAAAAAEA&#10;IAAAACIAAABkcnMvZG93bnJldi54bWxQSwECFAAUAAAACACHTuJAStvN/xICAAATBAAADgAAAAAA&#10;AAABACAAAAAkAQAAZHJzL2Uyb0RvYy54bWxQSwUGAAAAAAYABgBZAQAAqAUAAAAA&#10;">
              <v:fill on="f" focussize="0,0"/>
              <v:stroke on="f" weight="0.5pt"/>
              <v:imagedata o:title=""/>
              <o:lock v:ext="edit" aspectratio="f"/>
              <v:textbox inset="0mm,0mm,0mm,0mm" style="mso-fit-shape-to-text:t;">
                <w:txbxContent>
                  <w:p>
                    <w:pPr>
                      <w:pStyle w:val="3"/>
                      <w:rPr>
                        <w:rFonts w:hint="eastAsia" w:eastAsiaTheme="minorEastAsia"/>
                        <w:sz w:val="28"/>
                        <w:szCs w:val="28"/>
                        <w:lang w:eastAsia="zh-CN"/>
                      </w:rPr>
                    </w:pPr>
                    <w:r>
                      <w:rPr>
                        <w:rFonts w:hint="eastAsia"/>
                        <w:b/>
                        <w:bCs/>
                        <w:sz w:val="28"/>
                        <w:szCs w:val="28"/>
                        <w:lang w:eastAsia="zh-CN"/>
                      </w:rPr>
                      <w:fldChar w:fldCharType="begin"/>
                    </w:r>
                    <w:r>
                      <w:rPr>
                        <w:rFonts w:hint="eastAsia"/>
                        <w:b/>
                        <w:bCs/>
                        <w:sz w:val="28"/>
                        <w:szCs w:val="28"/>
                        <w:lang w:eastAsia="zh-CN"/>
                      </w:rPr>
                      <w:instrText xml:space="preserve"> PAGE  \* MERGEFORMAT </w:instrText>
                    </w:r>
                    <w:r>
                      <w:rPr>
                        <w:rFonts w:hint="eastAsia"/>
                        <w:b/>
                        <w:bCs/>
                        <w:sz w:val="28"/>
                        <w:szCs w:val="28"/>
                        <w:lang w:eastAsia="zh-CN"/>
                      </w:rPr>
                      <w:fldChar w:fldCharType="separate"/>
                    </w:r>
                    <w:r>
                      <w:rPr>
                        <w:rFonts w:hint="eastAsia"/>
                        <w:b/>
                        <w:bCs/>
                        <w:sz w:val="28"/>
                        <w:szCs w:val="28"/>
                        <w:lang w:eastAsia="zh-CN"/>
                      </w:rPr>
                      <w:t>2</w:t>
                    </w:r>
                    <w:r>
                      <w:rPr>
                        <w:rFonts w:hint="eastAsia"/>
                        <w:b/>
                        <w:bCs/>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BCA128"/>
    <w:multiLevelType w:val="singleLevel"/>
    <w:tmpl w:val="97BCA1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B3F16"/>
    <w:rsid w:val="09850FC5"/>
    <w:rsid w:val="0AAB67B5"/>
    <w:rsid w:val="0C02600F"/>
    <w:rsid w:val="0CD778CB"/>
    <w:rsid w:val="0D876A31"/>
    <w:rsid w:val="0FD87521"/>
    <w:rsid w:val="12BC59B5"/>
    <w:rsid w:val="163513C8"/>
    <w:rsid w:val="1E2A1D86"/>
    <w:rsid w:val="1FCA075A"/>
    <w:rsid w:val="278550AC"/>
    <w:rsid w:val="27D918EB"/>
    <w:rsid w:val="29700849"/>
    <w:rsid w:val="2C324E94"/>
    <w:rsid w:val="2FFB6B92"/>
    <w:rsid w:val="3066658C"/>
    <w:rsid w:val="30F24435"/>
    <w:rsid w:val="36811D93"/>
    <w:rsid w:val="36D96467"/>
    <w:rsid w:val="37C575ED"/>
    <w:rsid w:val="3AC07756"/>
    <w:rsid w:val="3BC62544"/>
    <w:rsid w:val="3E56584F"/>
    <w:rsid w:val="435F43B3"/>
    <w:rsid w:val="45C638B5"/>
    <w:rsid w:val="46441636"/>
    <w:rsid w:val="46E54714"/>
    <w:rsid w:val="4E392951"/>
    <w:rsid w:val="54CB3F16"/>
    <w:rsid w:val="5CBB0D79"/>
    <w:rsid w:val="637663EA"/>
    <w:rsid w:val="64AF0A92"/>
    <w:rsid w:val="66AF0BF2"/>
    <w:rsid w:val="6AFF576D"/>
    <w:rsid w:val="6E871DC8"/>
    <w:rsid w:val="704173D8"/>
    <w:rsid w:val="71AE5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正文文字"/>
    <w:basedOn w:val="1"/>
    <w:next w:val="1"/>
    <w:qFormat/>
    <w:uiPriority w:val="99"/>
    <w:pPr>
      <w:spacing w:after="120"/>
    </w:pPr>
    <w:rPr>
      <w:rFonts w:ascii="Times New Roman" w:hAnsi="Times New Roman"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Subtitle"/>
    <w:basedOn w:val="1"/>
    <w:next w:val="1"/>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2021-09-13T07:40:00Z</dcterms:created>
  <dc:creator>Administrator</dc:creator>
  <cp:lastModifiedBy>Administrator</cp:lastModifiedBy>
  <dcterms:modified xsi:type="dcterms:W3CDTF">2023-10-18T02:17:54Z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