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560" w:lineRule="exact"/>
        <w:ind w:left="0" w:right="0"/>
        <w:jc w:val="center"/>
      </w:pPr>
    </w:p>
    <w:p>
      <w:pPr>
        <w:snapToGrid w:val="0"/>
        <w:spacing w:before="0" w:after="0" w:line="560" w:lineRule="exact"/>
        <w:ind w:left="0" w:right="0"/>
        <w:jc w:val="center"/>
      </w:pPr>
    </w:p>
    <w:p>
      <w:pPr>
        <w:snapToGrid w:val="0"/>
        <w:spacing w:before="0" w:after="0" w:line="560" w:lineRule="exact"/>
        <w:ind w:left="0" w:right="0"/>
        <w:jc w:val="center"/>
      </w:pPr>
    </w:p>
    <w:p>
      <w:pPr>
        <w:snapToGrid w:val="0"/>
        <w:spacing w:before="0" w:after="0" w:line="240" w:lineRule="auto"/>
        <w:ind w:left="0" w:right="0"/>
        <w:jc w:val="center"/>
      </w:pPr>
      <w:r>
        <w:rPr>
          <w:rFonts w:ascii="方正小标宋简体" w:hAnsi="方正小标宋简体" w:eastAsia="方正小标宋简体" w:cs="方正小标宋简体"/>
          <w:i w:val="0"/>
          <w:strike w:val="0"/>
          <w:color w:val="000000"/>
          <w:sz w:val="84"/>
          <w:u w:val="none"/>
        </w:rPr>
        <w:t>炎陵县</w:t>
      </w:r>
      <w:r>
        <w:rPr>
          <w:rFonts w:ascii="方正小标宋简体" w:hAnsi="方正小标宋简体" w:eastAsia="方正小标宋简体" w:cs="方正小标宋简体"/>
          <w:strike w:val="0"/>
          <w:color w:val="000000"/>
          <w:sz w:val="84"/>
          <w:u w:val="none"/>
        </w:rPr>
        <w:t>第一中学</w:t>
      </w:r>
    </w:p>
    <w:p>
      <w:pPr>
        <w:snapToGrid w:val="0"/>
        <w:spacing w:before="0" w:after="0" w:line="240" w:lineRule="auto"/>
        <w:ind w:left="0" w:right="0"/>
        <w:jc w:val="center"/>
      </w:pPr>
      <w:r>
        <w:rPr>
          <w:rFonts w:ascii="方正小标宋简体" w:hAnsi="方正小标宋简体" w:eastAsia="方正小标宋简体" w:cs="方正小标宋简体"/>
          <w:i w:val="0"/>
          <w:strike w:val="0"/>
          <w:color w:val="000000"/>
          <w:sz w:val="84"/>
          <w:u w:val="none"/>
        </w:rPr>
        <w:t>2022年部门预算</w:t>
      </w: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jc w:val="left"/>
      </w:pPr>
    </w:p>
    <w:p>
      <w:pPr>
        <w:snapToGrid w:val="0"/>
        <w:spacing w:before="0" w:after="0" w:line="560" w:lineRule="exact"/>
        <w:ind w:left="0" w:right="0" w:firstLine="4800" w:firstLineChars="1500"/>
        <w:jc w:val="both"/>
      </w:pPr>
      <w:r>
        <w:rPr>
          <w:rFonts w:ascii="黑体" w:hAnsi="黑体" w:eastAsia="黑体" w:cs="黑体"/>
          <w:i w:val="0"/>
          <w:strike w:val="0"/>
          <w:color w:val="000000"/>
          <w:sz w:val="32"/>
          <w:u w:val="none"/>
        </w:rPr>
        <w:t>目</w:t>
      </w:r>
      <w:r>
        <w:rPr>
          <w:rFonts w:ascii="'Times New Roman'" w:hAnsi="'Times New Roman'" w:eastAsia="'Times New Roman'" w:cs="'Times New Roman'"/>
          <w:i w:val="0"/>
          <w:strike w:val="0"/>
          <w:color w:val="000000"/>
          <w:sz w:val="32"/>
          <w:u w:val="none"/>
        </w:rPr>
        <w:t xml:space="preserve">  </w:t>
      </w:r>
      <w:r>
        <w:rPr>
          <w:rFonts w:ascii="黑体" w:hAnsi="黑体" w:eastAsia="黑体" w:cs="黑体"/>
          <w:i w:val="0"/>
          <w:strike w:val="0"/>
          <w:color w:val="000000"/>
          <w:sz w:val="32"/>
          <w:u w:val="none"/>
        </w:rPr>
        <w:t>录</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第一部分</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b/>
          <w:i w:val="0"/>
          <w:strike w:val="0"/>
          <w:color w:val="000000"/>
          <w:sz w:val="32"/>
          <w:u w:val="none"/>
        </w:rPr>
        <w:t>部门预算公开说明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一、部门职能职责</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二、机构设置</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三、部门预算单位构成</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四、部门收支总体情况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（一）收入预算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（二）支出预算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（三）预算收支增减变化情况说明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五、一般公共预算拨款支出预算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（一）人员类支出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（二）运转类支出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（三）特定目标类支出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六、政府性基金预算支出</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七、其他重要事项情况说明</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（一）机关运行经费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（二）政府采购预算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（三）国有资产占有情况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（四）预算绩效目标</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（五）一般公共预算</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三公</w:t>
      </w:r>
      <w:r>
        <w:rPr>
          <w:rFonts w:ascii="Times New Roman" w:hAnsi="Times New Roman" w:eastAsia="Times New Roman" w:cs="Times New Roman"/>
          <w:i w:val="0"/>
          <w:strike w:val="0"/>
          <w:color w:val="000000"/>
          <w:sz w:val="32"/>
          <w:u w:val="none"/>
        </w:rPr>
        <w:t>”</w:t>
      </w:r>
      <w:r>
        <w:rPr>
          <w:rFonts w:ascii="仿宋_GB2312" w:hAnsi="仿宋_GB2312" w:eastAsia="仿宋_GB2312" w:cs="仿宋_GB2312"/>
          <w:i w:val="0"/>
          <w:strike w:val="0"/>
          <w:color w:val="000000"/>
          <w:sz w:val="32"/>
          <w:u w:val="none"/>
        </w:rPr>
        <w:t>经费预算</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（六）会议费、培训费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（七）其他事项</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八、名词解释</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第二部分</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b/>
          <w:i w:val="0"/>
          <w:strike w:val="0"/>
          <w:color w:val="000000"/>
          <w:sz w:val="32"/>
          <w:u w:val="none"/>
        </w:rPr>
        <w:t>部门预算公开表格</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（一）收支总表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（二）收入总表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（三）支出总表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（四）支出分类(政府预算)</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（五）一般公共预算基本支出情况表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（六）财政拨款收支总表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（七）一般公共预算支出表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（八）一般公共预算基本支出表--人员经费(工资福利支出)(按政府预算经济分类)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（九）一般公共预算基本支出情况表（按经济性质分类-工资福利）</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（十）一般公共预算基本支出表--人员经费(对个人和家庭的补助)(按政府预算经济分类)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（十一）一般公共预算基本支出情况表（按经济性质分类-个人家庭）</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（十二）一般公共预算基本支出表--公用经费(商品和服务支出)（按政府预算经济分类）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（十三）一般公共预算基本支出情况表（按经济性质分类-商品服务）</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（十四）一般公共预算“三公”经费支出表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（十五）政府性基金预算支出表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（十六）政府性基金预算支出分类汇总表（按政府预算经济分类）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（十七）政府性基金预算支出分类汇总表（按部门预算经济分类）</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（十八）国有资本经营预算支出表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（十九）财政专户管理资金预算支出表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（二十）专项资金预算汇总表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（二十一）项目支出绩效目标表</w:t>
      </w:r>
    </w:p>
    <w:p>
      <w:pPr>
        <w:snapToGrid/>
        <w:spacing w:before="0" w:after="0" w:line="560" w:lineRule="exact"/>
        <w:ind w:left="0" w:right="0" w:firstLine="420"/>
        <w:jc w:val="both"/>
      </w:pPr>
      <w:r>
        <w:rPr>
          <w:rFonts w:ascii="仿宋_GB2312" w:hAnsi="仿宋_GB2312" w:eastAsia="仿宋_GB2312" w:cs="仿宋_GB2312"/>
          <w:i w:val="0"/>
          <w:strike w:val="0"/>
          <w:color w:val="000000"/>
          <w:sz w:val="32"/>
          <w:u w:val="none"/>
        </w:rPr>
        <w:t>（二十二）整体支出绩效目标表</w:t>
      </w:r>
    </w:p>
    <w:p>
      <w:pPr>
        <w:snapToGrid w:val="0"/>
        <w:spacing w:before="0" w:after="0" w:line="560" w:lineRule="exact"/>
        <w:ind w:left="0" w:right="0"/>
        <w:jc w:val="both"/>
      </w:pPr>
    </w:p>
    <w:p>
      <w:pPr>
        <w:snapToGrid w:val="0"/>
        <w:spacing w:before="0" w:after="0" w:line="560" w:lineRule="exact"/>
        <w:ind w:left="0" w:right="0"/>
        <w:jc w:val="both"/>
      </w:pPr>
    </w:p>
    <w:p>
      <w:pPr>
        <w:snapToGrid w:val="0"/>
        <w:spacing w:before="0" w:after="0" w:line="560" w:lineRule="exact"/>
        <w:ind w:left="0" w:right="0"/>
        <w:jc w:val="both"/>
      </w:pP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第一部分：</w:t>
      </w:r>
    </w:p>
    <w:p>
      <w:pPr>
        <w:snapToGrid w:val="0"/>
        <w:spacing w:before="0" w:after="0" w:line="560" w:lineRule="exact"/>
        <w:ind w:left="0" w:right="0"/>
        <w:jc w:val="both"/>
      </w:pPr>
    </w:p>
    <w:p>
      <w:pPr>
        <w:snapToGrid w:val="0"/>
        <w:spacing w:before="0" w:after="0" w:line="560" w:lineRule="exact"/>
        <w:ind w:left="0" w:right="0" w:firstLine="880" w:firstLineChars="200"/>
        <w:jc w:val="both"/>
      </w:pPr>
      <w:r>
        <w:rPr>
          <w:rFonts w:ascii="方正小标宋简体" w:hAnsi="方正小标宋简体" w:eastAsia="方正小标宋简体" w:cs="方正小标宋简体"/>
          <w:i w:val="0"/>
          <w:strike w:val="0"/>
          <w:color w:val="000000"/>
          <w:sz w:val="44"/>
          <w:u w:val="none"/>
        </w:rPr>
        <w:t>炎陵县</w:t>
      </w:r>
      <w:r>
        <w:rPr>
          <w:rFonts w:ascii="方正小标宋简体" w:hAnsi="方正小标宋简体" w:eastAsia="方正小标宋简体" w:cs="方正小标宋简体"/>
          <w:strike w:val="0"/>
          <w:color w:val="000000"/>
          <w:sz w:val="44"/>
          <w:u w:val="none"/>
        </w:rPr>
        <w:t>第一中学</w:t>
      </w:r>
      <w:r>
        <w:rPr>
          <w:rFonts w:ascii="方正小标宋简体" w:hAnsi="方正小标宋简体" w:eastAsia="方正小标宋简体" w:cs="方正小标宋简体"/>
          <w:i w:val="0"/>
          <w:strike w:val="0"/>
          <w:color w:val="000000"/>
          <w:sz w:val="44"/>
          <w:u w:val="none"/>
        </w:rPr>
        <w:t>2022年部门预算说明</w:t>
      </w:r>
    </w:p>
    <w:p>
      <w:pPr>
        <w:snapToGrid w:val="0"/>
        <w:spacing w:before="0" w:after="0" w:line="560" w:lineRule="exact"/>
        <w:ind w:left="0" w:right="0" w:firstLine="440" w:firstLineChars="200"/>
        <w:jc w:val="both"/>
      </w:pP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一、</w:t>
      </w:r>
      <w:r>
        <w:rPr>
          <w:rFonts w:ascii="Calibri" w:hAnsi="Calibri" w:eastAsia="Calibri" w:cs="Calibri"/>
          <w:i w:val="0"/>
          <w:strike w:val="0"/>
          <w:color w:val="000000"/>
          <w:sz w:val="32"/>
          <w:u w:val="none"/>
        </w:rPr>
        <w:t xml:space="preserve"> </w:t>
      </w:r>
      <w:r>
        <w:rPr>
          <w:rFonts w:ascii="黑体" w:hAnsi="黑体" w:eastAsia="黑体" w:cs="黑体"/>
          <w:i w:val="0"/>
          <w:strike w:val="0"/>
          <w:color w:val="000000"/>
          <w:sz w:val="32"/>
          <w:u w:val="none"/>
        </w:rPr>
        <w:t>部门职能职责</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本部门的主要职能职责是：实施高中学历教育，促进普通教育发展。</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二、机构设置</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Calibri" w:hAnsi="Calibri" w:eastAsia="Calibri" w:cs="Calibri"/>
          <w:i w:val="0"/>
          <w:strike w:val="0"/>
          <w:color w:val="000000"/>
          <w:sz w:val="32"/>
          <w:u w:val="none"/>
        </w:rPr>
        <w:t> </w:t>
      </w:r>
      <w:r>
        <w:rPr>
          <w:rFonts w:ascii="仿宋_GB2312" w:hAnsi="仿宋_GB2312" w:eastAsia="仿宋_GB2312" w:cs="仿宋_GB2312"/>
          <w:i w:val="0"/>
          <w:strike w:val="0"/>
          <w:color w:val="000000"/>
          <w:sz w:val="32"/>
          <w:u w:val="none"/>
        </w:rPr>
        <w:t>本部门共有编制人数151人，实有人数150人。内设科室10个（含0个副处级单位），分别为：校长室、党政办公室、工会、学生发展中心、教师发展中心、后勤服务中心、教务处、政教处、总务处、团委等。</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三、部门预算单位构成</w:t>
      </w:r>
    </w:p>
    <w:p>
      <w:pPr>
        <w:snapToGrid w:val="0"/>
        <w:spacing w:before="0" w:after="0" w:line="560" w:lineRule="exact"/>
        <w:ind w:left="0" w:right="0" w:firstLine="640" w:firstLineChars="200"/>
        <w:jc w:val="both"/>
        <w:rPr>
          <w:rFonts w:hint="eastAsia" w:eastAsia="仿宋_GB2312"/>
          <w:lang w:eastAsia="zh-CN"/>
        </w:rPr>
      </w:pPr>
      <w:r>
        <w:rPr>
          <w:rFonts w:ascii="仿宋_GB2312" w:hAnsi="仿宋_GB2312" w:eastAsia="仿宋_GB2312" w:cs="仿宋_GB2312"/>
          <w:i w:val="0"/>
          <w:strike w:val="0"/>
          <w:color w:val="000000"/>
          <w:sz w:val="32"/>
          <w:u w:val="none"/>
        </w:rPr>
        <w:t>本部门无下属预算单位。纳入本部门</w:t>
      </w:r>
      <w:r>
        <w:rPr>
          <w:rFonts w:hint="eastAsia" w:ascii="仿宋_GB2312" w:hAnsi="仿宋_GB2312" w:eastAsia="仿宋_GB2312" w:cs="仿宋_GB2312"/>
          <w:i w:val="0"/>
          <w:strike w:val="0"/>
          <w:color w:val="000000"/>
          <w:sz w:val="32"/>
          <w:u w:val="none"/>
          <w:lang w:val="en-US" w:eastAsia="zh-CN"/>
        </w:rPr>
        <w:t>2022</w:t>
      </w:r>
      <w:r>
        <w:rPr>
          <w:rFonts w:ascii="仿宋_GB2312" w:hAnsi="仿宋_GB2312" w:eastAsia="仿宋_GB2312" w:cs="仿宋_GB2312"/>
          <w:i w:val="0"/>
          <w:strike w:val="0"/>
          <w:color w:val="000000"/>
          <w:sz w:val="32"/>
          <w:u w:val="none"/>
        </w:rPr>
        <w:t>年部门预算编制范围的二级预算单位</w:t>
      </w:r>
      <w:r>
        <w:rPr>
          <w:rFonts w:hint="eastAsia" w:ascii="仿宋_GB2312" w:hAnsi="仿宋_GB2312" w:eastAsia="仿宋_GB2312" w:cs="仿宋_GB2312"/>
          <w:i w:val="0"/>
          <w:strike w:val="0"/>
          <w:color w:val="000000"/>
          <w:sz w:val="32"/>
          <w:u w:val="none"/>
          <w:lang w:val="en-US" w:eastAsia="zh-CN"/>
        </w:rPr>
        <w:t>仅</w:t>
      </w:r>
      <w:r>
        <w:rPr>
          <w:rFonts w:ascii="仿宋_GB2312" w:hAnsi="仿宋_GB2312" w:eastAsia="仿宋_GB2312" w:cs="仿宋_GB2312"/>
          <w:i w:val="0"/>
          <w:strike w:val="0"/>
          <w:color w:val="000000"/>
          <w:sz w:val="32"/>
          <w:u w:val="none"/>
        </w:rPr>
        <w:t>包括</w:t>
      </w:r>
      <w:r>
        <w:rPr>
          <w:rFonts w:hint="eastAsia" w:ascii="仿宋_GB2312" w:hAnsi="仿宋_GB2312" w:eastAsia="仿宋_GB2312" w:cs="仿宋_GB2312"/>
          <w:i w:val="0"/>
          <w:strike w:val="0"/>
          <w:color w:val="000000"/>
          <w:sz w:val="32"/>
          <w:u w:val="none"/>
          <w:lang w:eastAsia="zh-CN"/>
        </w:rPr>
        <w:t>：</w:t>
      </w:r>
      <w:r>
        <w:rPr>
          <w:rFonts w:ascii="仿宋_GB2312" w:hAnsi="仿宋_GB2312" w:eastAsia="仿宋_GB2312" w:cs="仿宋_GB2312"/>
          <w:i w:val="0"/>
          <w:strike w:val="0"/>
          <w:color w:val="000000"/>
          <w:sz w:val="32"/>
          <w:u w:val="none"/>
        </w:rPr>
        <w:t>炎陵县第一中学</w:t>
      </w:r>
      <w:r>
        <w:rPr>
          <w:rFonts w:hint="eastAsia" w:ascii="仿宋_GB2312" w:hAnsi="仿宋_GB2312" w:eastAsia="仿宋_GB2312" w:cs="仿宋_GB2312"/>
          <w:i w:val="0"/>
          <w:strike w:val="0"/>
          <w:color w:val="000000"/>
          <w:sz w:val="32"/>
          <w:u w:val="none"/>
          <w:lang w:eastAsia="zh-CN"/>
        </w:rPr>
        <w:t>。</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四、</w:t>
      </w:r>
      <w:r>
        <w:rPr>
          <w:rFonts w:ascii="Calibri" w:hAnsi="Calibri" w:eastAsia="Calibri" w:cs="Calibri"/>
          <w:i w:val="0"/>
          <w:strike w:val="0"/>
          <w:color w:val="000000"/>
          <w:sz w:val="32"/>
          <w:u w:val="none"/>
        </w:rPr>
        <w:t xml:space="preserve"> </w:t>
      </w:r>
      <w:r>
        <w:rPr>
          <w:rFonts w:ascii="黑体" w:hAnsi="黑体" w:eastAsia="黑体" w:cs="黑体"/>
          <w:i w:val="0"/>
          <w:strike w:val="0"/>
          <w:color w:val="000000"/>
          <w:sz w:val="32"/>
          <w:u w:val="none"/>
        </w:rPr>
        <w:t>部门收支总体情况</w:t>
      </w:r>
    </w:p>
    <w:p>
      <w:pPr>
        <w:snapToGrid w:val="0"/>
        <w:spacing w:before="0" w:after="0" w:line="560" w:lineRule="exact"/>
        <w:ind w:left="0" w:right="0" w:firstLine="640" w:firstLineChars="200"/>
        <w:jc w:val="both"/>
      </w:pPr>
      <w:r>
        <w:rPr>
          <w:rFonts w:ascii="仿宋_GB2312" w:hAnsi="仿宋_GB2312" w:eastAsia="仿宋_GB2312" w:cs="仿宋_GB2312"/>
          <w:i w:val="0"/>
          <w:strike w:val="0"/>
          <w:color w:val="000000"/>
          <w:sz w:val="32"/>
          <w:u w:val="none"/>
        </w:rPr>
        <w:t>2022年炎陵县第一中学公开的部门预算为炎陵县教育局所属二级预算单位部门预算。收入包括一般公共预算收入、纳入财政专户管理的非税收入拨款收入等收入；支出只包括基本运行的经费。（详见附表）</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（一）收入预算：</w:t>
      </w:r>
      <w:r>
        <w:rPr>
          <w:rFonts w:ascii="仿宋_GB2312" w:hAnsi="仿宋_GB2312" w:eastAsia="仿宋_GB2312" w:cs="仿宋_GB2312"/>
          <w:i w:val="0"/>
          <w:strike w:val="0"/>
          <w:color w:val="000000"/>
          <w:sz w:val="32"/>
          <w:u w:val="none"/>
        </w:rPr>
        <w:t>2022年年初预算数25639760.08元，其中，一般公共预算拨款22013760.08元；财政专户管理的非税收入拨款3626000元；上年结转0元。</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（二）支出预算：</w:t>
      </w:r>
      <w:r>
        <w:rPr>
          <w:rFonts w:ascii="仿宋_GB2312" w:hAnsi="仿宋_GB2312" w:eastAsia="仿宋_GB2312" w:cs="仿宋_GB2312"/>
          <w:i w:val="0"/>
          <w:strike w:val="0"/>
          <w:color w:val="000000"/>
          <w:sz w:val="32"/>
          <w:u w:val="none"/>
        </w:rPr>
        <w:t>2022年年初预算数25639760.08元，其中，一般公共服务支出0元，公共安全0元，教育</w:t>
      </w:r>
      <w:r>
        <w:rPr>
          <w:rFonts w:ascii="仿宋_GB2312" w:hAnsi="仿宋_GB2312" w:eastAsia="仿宋_GB2312" w:cs="仿宋_GB2312"/>
          <w:b w:val="0"/>
          <w:i w:val="0"/>
          <w:strike w:val="0"/>
          <w:color w:val="000000"/>
          <w:spacing w:val="0"/>
          <w:sz w:val="32"/>
          <w:u w:val="none"/>
        </w:rPr>
        <w:t>25587560.08</w:t>
      </w:r>
      <w:r>
        <w:rPr>
          <w:rFonts w:ascii="仿宋_GB2312" w:hAnsi="仿宋_GB2312" w:eastAsia="仿宋_GB2312" w:cs="仿宋_GB2312"/>
          <w:i w:val="0"/>
          <w:strike w:val="0"/>
          <w:color w:val="000000"/>
          <w:sz w:val="32"/>
          <w:u w:val="none"/>
        </w:rPr>
        <w:t>元，科学技术0元，</w:t>
      </w:r>
      <w:r>
        <w:rPr>
          <w:rFonts w:ascii="仿宋_GB2312" w:hAnsi="仿宋_GB2312" w:eastAsia="仿宋_GB2312" w:cs="仿宋_GB2312"/>
          <w:b w:val="0"/>
          <w:i w:val="0"/>
          <w:strike w:val="0"/>
          <w:color w:val="000000"/>
          <w:spacing w:val="0"/>
          <w:sz w:val="32"/>
          <w:u w:val="none"/>
        </w:rPr>
        <w:t>社会保障和就业支出52200</w:t>
      </w:r>
      <w:r>
        <w:rPr>
          <w:rFonts w:ascii="仿宋_GB2312" w:hAnsi="仿宋_GB2312" w:eastAsia="仿宋_GB2312" w:cs="仿宋_GB2312"/>
          <w:i w:val="0"/>
          <w:strike w:val="0"/>
          <w:color w:val="000000"/>
          <w:sz w:val="32"/>
          <w:u w:val="none"/>
        </w:rPr>
        <w:t>元。</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（三）预算收支增减变化情况说明：</w:t>
      </w:r>
      <w:r>
        <w:rPr>
          <w:rFonts w:ascii="仿宋_GB2312" w:hAnsi="仿宋_GB2312" w:eastAsia="仿宋_GB2312" w:cs="仿宋_GB2312"/>
          <w:i w:val="0"/>
          <w:strike w:val="0"/>
          <w:color w:val="000000"/>
          <w:sz w:val="32"/>
          <w:u w:val="none"/>
        </w:rPr>
        <w:t>2022年度本部门年初预算数为25639760.08元，比上年增加2551390.08元，主要原因是人员增加，造成人员经费和运转经费上涨等。</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五、一般公共预算拨款支出预算</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2022年本部门一般公共预算拨款收入22013760.08元，具体安排如下（详见附表）：</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（一）人员类支出</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2022年年初预算数为21629868.48元。其中包括基本工资7552116元、津贴补贴4162620元、奖金4229343元、社会保障缴费</w:t>
      </w:r>
      <w:r>
        <w:rPr>
          <w:rFonts w:ascii="仿宋_GB2312" w:hAnsi="仿宋_GB2312" w:eastAsia="仿宋_GB2312" w:cs="仿宋_GB2312"/>
          <w:b w:val="0"/>
          <w:i w:val="0"/>
          <w:strike w:val="0"/>
          <w:color w:val="000000"/>
          <w:spacing w:val="0"/>
          <w:sz w:val="32"/>
          <w:u w:val="none"/>
        </w:rPr>
        <w:t>3512026</w:t>
      </w:r>
      <w:r>
        <w:rPr>
          <w:rFonts w:ascii="仿宋_GB2312" w:hAnsi="仿宋_GB2312" w:eastAsia="仿宋_GB2312" w:cs="仿宋_GB2312"/>
          <w:i w:val="0"/>
          <w:strike w:val="0"/>
          <w:color w:val="000000"/>
          <w:sz w:val="32"/>
          <w:u w:val="none"/>
        </w:rPr>
        <w:t>元、住房公积金1913289.48元、其他工资福利支出</w:t>
      </w:r>
      <w:r>
        <w:rPr>
          <w:rFonts w:ascii="仿宋_GB2312" w:hAnsi="仿宋_GB2312" w:eastAsia="仿宋_GB2312" w:cs="仿宋_GB2312"/>
          <w:b w:val="0"/>
          <w:i w:val="0"/>
          <w:strike w:val="0"/>
          <w:color w:val="000000"/>
          <w:spacing w:val="0"/>
          <w:sz w:val="32"/>
          <w:u w:val="none"/>
        </w:rPr>
        <w:t>170234</w:t>
      </w:r>
      <w:r>
        <w:rPr>
          <w:rFonts w:ascii="仿宋_GB2312" w:hAnsi="仿宋_GB2312" w:eastAsia="仿宋_GB2312" w:cs="仿宋_GB2312"/>
          <w:i w:val="0"/>
          <w:strike w:val="0"/>
          <w:color w:val="000000"/>
          <w:sz w:val="32"/>
          <w:u w:val="none"/>
        </w:rPr>
        <w:t>元、对个人和家庭补助支出90240元等。</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（二）运转类支出</w:t>
      </w:r>
    </w:p>
    <w:p>
      <w:pPr>
        <w:pBdr>
          <w:bottom w:val="none" w:color="auto" w:sz="0" w:space="0"/>
        </w:pBd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2022年年初预算数为38</w:t>
      </w:r>
      <w:r>
        <w:rPr>
          <w:rFonts w:ascii="仿宋_GB2312" w:hAnsi="仿宋_GB2312" w:eastAsia="仿宋_GB2312" w:cs="仿宋_GB2312"/>
          <w:strike w:val="0"/>
          <w:color w:val="000000"/>
          <w:sz w:val="32"/>
          <w:u w:val="none"/>
        </w:rPr>
        <w:t>3891</w:t>
      </w:r>
      <w:r>
        <w:rPr>
          <w:rFonts w:ascii="仿宋_GB2312" w:hAnsi="仿宋_GB2312" w:eastAsia="仿宋_GB2312" w:cs="仿宋_GB2312"/>
          <w:i w:val="0"/>
          <w:strike w:val="0"/>
          <w:color w:val="000000"/>
          <w:sz w:val="32"/>
          <w:u w:val="none"/>
        </w:rPr>
        <w:t>.6元。其中：工会经费181691.6元，非税收入安排的捐赠收入专项150000元，离退休支部工作经费专项52200元，</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（三）特定目标类支出</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strike w:val="0"/>
          <w:color w:val="000000"/>
          <w:sz w:val="32"/>
          <w:u w:val="none"/>
        </w:rPr>
        <w:t>无</w:t>
      </w:r>
      <w:r>
        <w:rPr>
          <w:rFonts w:ascii="仿宋_GB2312" w:hAnsi="仿宋_GB2312" w:eastAsia="仿宋_GB2312" w:cs="仿宋_GB2312"/>
          <w:i w:val="0"/>
          <w:strike w:val="0"/>
          <w:color w:val="000000"/>
          <w:sz w:val="32"/>
          <w:u w:val="none"/>
        </w:rPr>
        <w:t>。</w:t>
      </w:r>
    </w:p>
    <w:p>
      <w:pPr>
        <w:snapToGrid w:val="0"/>
        <w:spacing w:before="0" w:after="0" w:line="560" w:lineRule="exact"/>
        <w:ind w:left="0" w:right="0" w:firstLine="640" w:firstLineChars="200"/>
        <w:jc w:val="both"/>
      </w:pPr>
      <w:r>
        <w:rPr>
          <w:rFonts w:ascii="Calibri" w:hAnsi="Calibri" w:eastAsia="Calibri" w:cs="Calibri"/>
          <w:i w:val="0"/>
          <w:strike w:val="0"/>
          <w:color w:val="000000"/>
          <w:sz w:val="32"/>
          <w:u w:val="none"/>
        </w:rPr>
        <w:t>六、</w:t>
      </w:r>
      <w:r>
        <w:rPr>
          <w:rFonts w:ascii="黑体" w:hAnsi="黑体" w:eastAsia="黑体" w:cs="黑体"/>
          <w:i w:val="0"/>
          <w:strike w:val="0"/>
          <w:color w:val="000000"/>
          <w:sz w:val="32"/>
          <w:u w:val="none"/>
        </w:rPr>
        <w:t>政府性基金预算支出</w:t>
      </w:r>
    </w:p>
    <w:p>
      <w:pPr>
        <w:snapToGrid w:val="0"/>
        <w:spacing w:before="0" w:after="0" w:line="560" w:lineRule="exact"/>
        <w:ind w:left="0" w:right="0" w:firstLine="640" w:firstLineChars="200"/>
        <w:jc w:val="both"/>
        <w:rPr>
          <w:rFonts w:hint="eastAsia" w:eastAsia="仿宋_GB2312"/>
          <w:lang w:eastAsia="zh-CN"/>
        </w:rPr>
      </w:pPr>
      <w:r>
        <w:rPr>
          <w:rFonts w:ascii="仿宋_GB2312" w:hAnsi="仿宋_GB2312" w:eastAsia="仿宋_GB2312" w:cs="仿宋_GB2312"/>
          <w:i w:val="0"/>
          <w:strike w:val="0"/>
          <w:color w:val="000000"/>
          <w:sz w:val="32"/>
          <w:u w:val="none"/>
        </w:rPr>
        <w:t>2022年度本部门无政府性基金预算安排的支出</w:t>
      </w:r>
      <w:r>
        <w:rPr>
          <w:rFonts w:hint="eastAsia" w:ascii="仿宋_GB2312" w:hAnsi="仿宋_GB2312" w:eastAsia="仿宋_GB2312" w:cs="仿宋_GB2312"/>
          <w:i w:val="0"/>
          <w:strike w:val="0"/>
          <w:color w:val="000000"/>
          <w:sz w:val="32"/>
          <w:u w:val="none"/>
          <w:lang w:eastAsia="zh-CN"/>
        </w:rPr>
        <w:t>。</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七、其他重要事项情况说明</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（一）机关运行经费：</w:t>
      </w:r>
      <w:r>
        <w:rPr>
          <w:rFonts w:ascii="仿宋_GB2312" w:hAnsi="仿宋_GB2312" w:eastAsia="仿宋_GB2312" w:cs="仿宋_GB2312"/>
          <w:i w:val="0"/>
          <w:strike w:val="0"/>
          <w:color w:val="000000"/>
          <w:sz w:val="32"/>
          <w:u w:val="none"/>
        </w:rPr>
        <w:t>本部门2022年年初预算机关运行经费共安排4009891.60元，比上年度预算增加96264.6元，增加的主要原因是：人员增加较多以及其他行政事业单位养老支出提高了标准。</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（二）政府采购预算：</w:t>
      </w:r>
      <w:r>
        <w:rPr>
          <w:rFonts w:ascii="仿宋_GB2312" w:hAnsi="仿宋_GB2312" w:eastAsia="仿宋_GB2312" w:cs="仿宋_GB2312"/>
          <w:i w:val="0"/>
          <w:strike w:val="0"/>
          <w:color w:val="000000"/>
          <w:sz w:val="32"/>
          <w:u w:val="none"/>
        </w:rPr>
        <w:t>2022年年初预算数为2041000元。包含：政府采购服务386000元、政府采购货物1655000元、政府采购工程0元。</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（三）国有资产占有情况：</w:t>
      </w:r>
      <w:r>
        <w:rPr>
          <w:rFonts w:ascii="仿宋_GB2312" w:hAnsi="仿宋_GB2312" w:eastAsia="仿宋_GB2312" w:cs="仿宋_GB2312"/>
          <w:i w:val="0"/>
          <w:strike w:val="0"/>
          <w:color w:val="000000"/>
          <w:sz w:val="32"/>
          <w:u w:val="none"/>
        </w:rPr>
        <w:t>截止2021年12月31日，本部门共有办公及业务用房 44532.55平方米；车辆1辆，其中一般公务用车1辆、一般执法执勤用车0辆、货币化用车0辆；单位价值50万以上大型设备1套。2022年部门预算安排购置车辆</w:t>
      </w:r>
      <w:r>
        <w:rPr>
          <w:rFonts w:ascii="仿宋_GB2312" w:hAnsi="仿宋_GB2312" w:eastAsia="仿宋_GB2312" w:cs="仿宋_GB2312"/>
          <w:strike w:val="0"/>
          <w:color w:val="000000"/>
          <w:sz w:val="32"/>
          <w:u w:val="none"/>
        </w:rPr>
        <w:t>0</w:t>
      </w:r>
      <w:r>
        <w:rPr>
          <w:rFonts w:ascii="仿宋_GB2312" w:hAnsi="仿宋_GB2312" w:eastAsia="仿宋_GB2312" w:cs="仿宋_GB2312"/>
          <w:i w:val="0"/>
          <w:strike w:val="0"/>
          <w:color w:val="000000"/>
          <w:sz w:val="32"/>
          <w:u w:val="none"/>
        </w:rPr>
        <w:t>辆，预算安排购置价值50万以上大型设备0套。</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楷体_GB2312" w:hAnsi="楷体_GB2312" w:eastAsia="楷体_GB2312" w:cs="楷体_GB2312"/>
          <w:i w:val="0"/>
          <w:strike w:val="0"/>
          <w:color w:val="000000"/>
          <w:sz w:val="32"/>
          <w:u w:val="none"/>
        </w:rPr>
        <w:t>（四）预算绩效目标：</w:t>
      </w:r>
      <w:r>
        <w:rPr>
          <w:rFonts w:ascii="仿宋_GB2312" w:hAnsi="仿宋_GB2312" w:eastAsia="仿宋_GB2312" w:cs="仿宋_GB2312"/>
          <w:i w:val="0"/>
          <w:strike w:val="0"/>
          <w:color w:val="000000"/>
          <w:sz w:val="32"/>
          <w:u w:val="none"/>
        </w:rPr>
        <w:t>本部门整体支出和项目支出实行绩效目标管理，纳入2022年部门整体支出绩效目标的金额为25639760.08元，其中，基本支出 21811560.08元，项目支出3828200元（详见附表）。 </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（五）</w:t>
      </w:r>
      <w:r>
        <w:rPr>
          <w:rFonts w:ascii="Calibri" w:hAnsi="Calibri" w:eastAsia="Calibri" w:cs="Calibri"/>
          <w:i w:val="0"/>
          <w:strike w:val="0"/>
          <w:color w:val="000000"/>
          <w:sz w:val="32"/>
          <w:u w:val="none"/>
        </w:rPr>
        <w:t>“</w:t>
      </w:r>
      <w:r>
        <w:rPr>
          <w:rFonts w:ascii="楷体_GB2312" w:hAnsi="楷体_GB2312" w:eastAsia="楷体_GB2312" w:cs="楷体_GB2312"/>
          <w:i w:val="0"/>
          <w:strike w:val="0"/>
          <w:color w:val="000000"/>
          <w:sz w:val="32"/>
          <w:u w:val="none"/>
        </w:rPr>
        <w:t>三公</w:t>
      </w:r>
      <w:r>
        <w:rPr>
          <w:rFonts w:ascii="Calibri" w:hAnsi="Calibri" w:eastAsia="Calibri" w:cs="Calibri"/>
          <w:i w:val="0"/>
          <w:strike w:val="0"/>
          <w:color w:val="000000"/>
          <w:sz w:val="32"/>
          <w:u w:val="none"/>
        </w:rPr>
        <w:t>”</w:t>
      </w:r>
      <w:r>
        <w:rPr>
          <w:rFonts w:ascii="楷体_GB2312" w:hAnsi="楷体_GB2312" w:eastAsia="楷体_GB2312" w:cs="楷体_GB2312"/>
          <w:i w:val="0"/>
          <w:strike w:val="0"/>
          <w:color w:val="000000"/>
          <w:sz w:val="32"/>
          <w:u w:val="none"/>
        </w:rPr>
        <w:t>经费预算：</w:t>
      </w:r>
    </w:p>
    <w:p>
      <w:pPr>
        <w:snapToGrid w:val="0"/>
        <w:spacing w:before="0" w:after="0" w:line="560" w:lineRule="exact"/>
        <w:ind w:left="0" w:right="0" w:firstLine="640" w:firstLineChars="200"/>
        <w:jc w:val="both"/>
        <w:rPr>
          <w:rFonts w:hint="eastAsia" w:eastAsia="仿宋_GB2312"/>
          <w:lang w:val="en-US" w:eastAsia="zh-CN"/>
        </w:rPr>
      </w:pPr>
      <w:r>
        <w:rPr>
          <w:rFonts w:ascii="仿宋_GB2312" w:hAnsi="仿宋_GB2312" w:eastAsia="仿宋_GB2312" w:cs="仿宋_GB2312"/>
          <w:i w:val="0"/>
          <w:strike w:val="0"/>
          <w:color w:val="000000"/>
          <w:sz w:val="32"/>
          <w:u w:val="none"/>
        </w:rPr>
        <w:t>本单位无公共财政拨款三公经费预算，所有</w:t>
      </w:r>
      <w:r>
        <w:rPr>
          <w:rFonts w:ascii="Calibri" w:hAnsi="Calibri" w:eastAsia="Calibri" w:cs="Calibri"/>
          <w:i w:val="0"/>
          <w:strike w:val="0"/>
          <w:color w:val="000000"/>
          <w:sz w:val="32"/>
          <w:u w:val="none"/>
        </w:rPr>
        <w:t>“</w:t>
      </w:r>
      <w:r>
        <w:rPr>
          <w:rFonts w:ascii="仿宋_GB2312" w:hAnsi="仿宋_GB2312" w:eastAsia="仿宋_GB2312" w:cs="仿宋_GB2312"/>
          <w:i w:val="0"/>
          <w:strike w:val="0"/>
          <w:color w:val="000000"/>
          <w:sz w:val="32"/>
          <w:u w:val="none"/>
        </w:rPr>
        <w:t>三公</w:t>
      </w:r>
      <w:r>
        <w:rPr>
          <w:rFonts w:ascii="Calibri" w:hAnsi="Calibri" w:eastAsia="Calibri" w:cs="Calibri"/>
          <w:i w:val="0"/>
          <w:strike w:val="0"/>
          <w:color w:val="000000"/>
          <w:sz w:val="32"/>
          <w:u w:val="none"/>
        </w:rPr>
        <w:t>”</w:t>
      </w:r>
      <w:r>
        <w:rPr>
          <w:rFonts w:ascii="仿宋_GB2312" w:hAnsi="仿宋_GB2312" w:eastAsia="仿宋_GB2312" w:cs="仿宋_GB2312"/>
          <w:i w:val="0"/>
          <w:strike w:val="0"/>
          <w:color w:val="000000"/>
          <w:sz w:val="32"/>
          <w:u w:val="none"/>
        </w:rPr>
        <w:t>经费均为自有资金安排。20</w:t>
      </w:r>
      <w:r>
        <w:rPr>
          <w:rFonts w:hint="eastAsia" w:ascii="仿宋_GB2312" w:hAnsi="仿宋_GB2312" w:eastAsia="仿宋_GB2312" w:cs="仿宋_GB2312"/>
          <w:i w:val="0"/>
          <w:strike w:val="0"/>
          <w:color w:val="000000"/>
          <w:sz w:val="32"/>
          <w:u w:val="none"/>
          <w:lang w:val="en-US" w:eastAsia="zh-CN"/>
        </w:rPr>
        <w:t>22</w:t>
      </w:r>
      <w:r>
        <w:rPr>
          <w:rFonts w:ascii="仿宋_GB2312" w:hAnsi="仿宋_GB2312" w:eastAsia="仿宋_GB2312" w:cs="仿宋_GB2312"/>
          <w:i w:val="0"/>
          <w:strike w:val="0"/>
          <w:color w:val="000000"/>
          <w:sz w:val="32"/>
          <w:u w:val="none"/>
        </w:rPr>
        <w:t>年“三公”经费预算数</w:t>
      </w:r>
      <w:r>
        <w:rPr>
          <w:rFonts w:hint="eastAsia" w:ascii="仿宋_GB2312" w:hAnsi="仿宋_GB2312" w:eastAsia="仿宋_GB2312" w:cs="仿宋_GB2312"/>
          <w:i w:val="0"/>
          <w:strike w:val="0"/>
          <w:color w:val="000000"/>
          <w:sz w:val="32"/>
          <w:u w:val="none"/>
          <w:lang w:val="en-US" w:eastAsia="zh-CN"/>
        </w:rPr>
        <w:t>0</w:t>
      </w:r>
      <w:r>
        <w:rPr>
          <w:rFonts w:hint="eastAsia" w:ascii="仿宋_GB2312" w:hAnsi="仿宋_GB2312" w:eastAsia="仿宋_GB2312" w:cs="仿宋_GB2312"/>
          <w:i w:val="0"/>
          <w:strike w:val="0"/>
          <w:color w:val="000000"/>
          <w:sz w:val="32"/>
          <w:u w:val="none"/>
          <w:lang w:eastAsia="zh-CN"/>
        </w:rPr>
        <w:t>元</w:t>
      </w:r>
      <w:r>
        <w:rPr>
          <w:rFonts w:ascii="仿宋_GB2312" w:hAnsi="仿宋_GB2312" w:eastAsia="仿宋_GB2312" w:cs="仿宋_GB2312"/>
          <w:i w:val="0"/>
          <w:strike w:val="0"/>
          <w:color w:val="000000"/>
          <w:sz w:val="32"/>
          <w:u w:val="none"/>
        </w:rPr>
        <w:t>，其中：公务接待费</w:t>
      </w:r>
      <w:r>
        <w:rPr>
          <w:rFonts w:hint="eastAsia" w:ascii="仿宋_GB2312" w:hAnsi="仿宋_GB2312" w:eastAsia="仿宋_GB2312" w:cs="仿宋_GB2312"/>
          <w:i w:val="0"/>
          <w:strike w:val="0"/>
          <w:color w:val="000000"/>
          <w:sz w:val="32"/>
          <w:u w:val="none"/>
          <w:lang w:val="en-US" w:eastAsia="zh-CN"/>
        </w:rPr>
        <w:t>0</w:t>
      </w:r>
      <w:r>
        <w:rPr>
          <w:rFonts w:hint="eastAsia" w:ascii="仿宋_GB2312" w:hAnsi="仿宋_GB2312" w:eastAsia="仿宋_GB2312" w:cs="仿宋_GB2312"/>
          <w:i w:val="0"/>
          <w:strike w:val="0"/>
          <w:color w:val="000000"/>
          <w:sz w:val="32"/>
          <w:u w:val="none"/>
          <w:lang w:eastAsia="zh-CN"/>
        </w:rPr>
        <w:t>元</w:t>
      </w:r>
      <w:r>
        <w:rPr>
          <w:rFonts w:ascii="仿宋_GB2312" w:hAnsi="仿宋_GB2312" w:eastAsia="仿宋_GB2312" w:cs="仿宋_GB2312"/>
          <w:i w:val="0"/>
          <w:strike w:val="0"/>
          <w:color w:val="000000"/>
          <w:sz w:val="32"/>
          <w:u w:val="none"/>
        </w:rPr>
        <w:t>、公务用车购置费</w:t>
      </w:r>
      <w:r>
        <w:rPr>
          <w:rFonts w:hint="eastAsia" w:ascii="仿宋_GB2312" w:hAnsi="仿宋_GB2312" w:eastAsia="仿宋_GB2312" w:cs="仿宋_GB2312"/>
          <w:i w:val="0"/>
          <w:strike w:val="0"/>
          <w:color w:val="000000"/>
          <w:sz w:val="32"/>
          <w:u w:val="none"/>
          <w:lang w:val="en-US" w:eastAsia="zh-CN"/>
        </w:rPr>
        <w:t>0</w:t>
      </w:r>
      <w:r>
        <w:rPr>
          <w:rFonts w:hint="eastAsia" w:ascii="仿宋_GB2312" w:hAnsi="仿宋_GB2312" w:eastAsia="仿宋_GB2312" w:cs="仿宋_GB2312"/>
          <w:i w:val="0"/>
          <w:strike w:val="0"/>
          <w:color w:val="000000"/>
          <w:sz w:val="32"/>
          <w:u w:val="none"/>
          <w:lang w:eastAsia="zh-CN"/>
        </w:rPr>
        <w:t>元</w:t>
      </w:r>
      <w:r>
        <w:rPr>
          <w:rFonts w:ascii="仿宋_GB2312" w:hAnsi="仿宋_GB2312" w:eastAsia="仿宋_GB2312" w:cs="仿宋_GB2312"/>
          <w:i w:val="0"/>
          <w:strike w:val="0"/>
          <w:color w:val="000000"/>
          <w:sz w:val="32"/>
          <w:u w:val="none"/>
        </w:rPr>
        <w:t>，公务用车运行费</w:t>
      </w:r>
      <w:r>
        <w:rPr>
          <w:rFonts w:hint="eastAsia" w:ascii="仿宋_GB2312" w:hAnsi="仿宋_GB2312" w:eastAsia="仿宋_GB2312" w:cs="仿宋_GB2312"/>
          <w:i w:val="0"/>
          <w:strike w:val="0"/>
          <w:color w:val="000000"/>
          <w:sz w:val="32"/>
          <w:u w:val="none"/>
          <w:lang w:val="en-US" w:eastAsia="zh-CN"/>
        </w:rPr>
        <w:t>0</w:t>
      </w:r>
      <w:r>
        <w:rPr>
          <w:rFonts w:hint="eastAsia" w:ascii="仿宋_GB2312" w:hAnsi="仿宋_GB2312" w:eastAsia="仿宋_GB2312" w:cs="仿宋_GB2312"/>
          <w:i w:val="0"/>
          <w:strike w:val="0"/>
          <w:color w:val="000000"/>
          <w:sz w:val="32"/>
          <w:u w:val="none"/>
          <w:lang w:eastAsia="zh-CN"/>
        </w:rPr>
        <w:t>元</w:t>
      </w:r>
      <w:r>
        <w:rPr>
          <w:rFonts w:ascii="仿宋_GB2312" w:hAnsi="仿宋_GB2312" w:eastAsia="仿宋_GB2312" w:cs="仿宋_GB2312"/>
          <w:i w:val="0"/>
          <w:strike w:val="0"/>
          <w:color w:val="000000"/>
          <w:sz w:val="32"/>
          <w:u w:val="none"/>
        </w:rPr>
        <w:t>、因公出国（境）费</w:t>
      </w:r>
      <w:r>
        <w:rPr>
          <w:rFonts w:hint="eastAsia" w:ascii="仿宋_GB2312" w:hAnsi="仿宋_GB2312" w:eastAsia="仿宋_GB2312" w:cs="仿宋_GB2312"/>
          <w:i w:val="0"/>
          <w:strike w:val="0"/>
          <w:color w:val="000000"/>
          <w:sz w:val="32"/>
          <w:u w:val="none"/>
          <w:lang w:val="en-US" w:eastAsia="zh-CN"/>
        </w:rPr>
        <w:t>0</w:t>
      </w:r>
      <w:r>
        <w:rPr>
          <w:rFonts w:hint="eastAsia" w:ascii="仿宋_GB2312" w:hAnsi="仿宋_GB2312" w:eastAsia="仿宋_GB2312" w:cs="仿宋_GB2312"/>
          <w:i w:val="0"/>
          <w:strike w:val="0"/>
          <w:color w:val="000000"/>
          <w:sz w:val="32"/>
          <w:u w:val="none"/>
          <w:lang w:eastAsia="zh-CN"/>
        </w:rPr>
        <w:t>元</w:t>
      </w:r>
      <w:r>
        <w:rPr>
          <w:rFonts w:ascii="仿宋_GB2312" w:hAnsi="仿宋_GB2312" w:eastAsia="仿宋_GB2312" w:cs="仿宋_GB2312"/>
          <w:i w:val="0"/>
          <w:strike w:val="0"/>
          <w:color w:val="000000"/>
          <w:sz w:val="32"/>
          <w:u w:val="none"/>
        </w:rPr>
        <w:t>。20</w:t>
      </w:r>
      <w:r>
        <w:rPr>
          <w:rFonts w:hint="eastAsia" w:ascii="仿宋_GB2312" w:hAnsi="仿宋_GB2312" w:eastAsia="仿宋_GB2312" w:cs="仿宋_GB2312"/>
          <w:i w:val="0"/>
          <w:strike w:val="0"/>
          <w:color w:val="000000"/>
          <w:sz w:val="32"/>
          <w:u w:val="none"/>
          <w:lang w:val="en-US" w:eastAsia="zh-CN"/>
        </w:rPr>
        <w:t>22</w:t>
      </w:r>
      <w:r>
        <w:rPr>
          <w:rFonts w:ascii="仿宋_GB2312" w:hAnsi="仿宋_GB2312" w:eastAsia="仿宋_GB2312" w:cs="仿宋_GB2312"/>
          <w:i w:val="0"/>
          <w:strike w:val="0"/>
          <w:color w:val="000000"/>
          <w:sz w:val="32"/>
          <w:u w:val="none"/>
        </w:rPr>
        <w:t>年公务用车购置数</w:t>
      </w:r>
      <w:r>
        <w:rPr>
          <w:rFonts w:hint="eastAsia" w:ascii="仿宋_GB2312" w:hAnsi="仿宋_GB2312" w:eastAsia="仿宋_GB2312" w:cs="仿宋_GB2312"/>
          <w:i w:val="0"/>
          <w:strike w:val="0"/>
          <w:color w:val="000000"/>
          <w:sz w:val="32"/>
          <w:u w:val="none"/>
          <w:lang w:val="en-US" w:eastAsia="zh-CN"/>
        </w:rPr>
        <w:t>0</w:t>
      </w:r>
      <w:bookmarkStart w:id="0" w:name="_GoBack"/>
      <w:bookmarkEnd w:id="0"/>
      <w:r>
        <w:rPr>
          <w:rFonts w:ascii="仿宋_GB2312" w:hAnsi="仿宋_GB2312" w:eastAsia="仿宋_GB2312" w:cs="仿宋_GB2312"/>
          <w:i w:val="0"/>
          <w:strike w:val="0"/>
          <w:color w:val="000000"/>
          <w:sz w:val="32"/>
          <w:u w:val="none"/>
        </w:rPr>
        <w:t>台</w:t>
      </w:r>
      <w:r>
        <w:rPr>
          <w:rFonts w:hint="eastAsia" w:ascii="仿宋_GB2312" w:hAnsi="仿宋_GB2312" w:eastAsia="仿宋_GB2312" w:cs="仿宋_GB2312"/>
          <w:i w:val="0"/>
          <w:strike w:val="0"/>
          <w:color w:val="000000"/>
          <w:sz w:val="32"/>
          <w:u w:val="none"/>
          <w:lang w:eastAsia="zh-CN"/>
        </w:rPr>
        <w:t>。</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（六）会议费、培训费预算：</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2022年度本单位无会议费、培训费预算，所有会议费、培训费抣为自有资金安排。</w:t>
      </w:r>
    </w:p>
    <w:p>
      <w:pPr>
        <w:snapToGrid w:val="0"/>
        <w:spacing w:before="0" w:after="0" w:line="560" w:lineRule="exact"/>
        <w:ind w:left="0" w:right="0" w:firstLine="640" w:firstLineChars="200"/>
        <w:jc w:val="both"/>
      </w:pPr>
      <w:r>
        <w:rPr>
          <w:rFonts w:ascii="楷体_GB2312" w:hAnsi="楷体_GB2312" w:eastAsia="楷体_GB2312" w:cs="楷体_GB2312"/>
          <w:i w:val="0"/>
          <w:strike w:val="0"/>
          <w:color w:val="000000"/>
          <w:sz w:val="32"/>
          <w:u w:val="none"/>
        </w:rPr>
        <w:t>（七）其他事项。</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本单位2022年预算未安排政府性基金预算。</w:t>
      </w:r>
    </w:p>
    <w:p>
      <w:pPr>
        <w:snapToGrid w:val="0"/>
        <w:spacing w:before="0" w:after="0" w:line="56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本单位2022年预算未安排国有资本经营预算。</w:t>
      </w:r>
    </w:p>
    <w:p>
      <w:pPr>
        <w:snapToGrid w:val="0"/>
        <w:spacing w:before="0" w:after="0" w:line="560" w:lineRule="exact"/>
        <w:ind w:left="0" w:right="0" w:firstLine="640" w:firstLineChars="200"/>
        <w:jc w:val="both"/>
        <w:rPr>
          <w:rFonts w:ascii="仿宋_GB2312" w:hAnsi="仿宋_GB2312" w:eastAsia="仿宋_GB2312" w:cs="仿宋_GB2312"/>
          <w:b w:val="0"/>
          <w:strike w:val="0"/>
          <w:color w:val="000000"/>
          <w:spacing w:val="0"/>
          <w:sz w:val="32"/>
          <w:u w:val="none"/>
        </w:rPr>
      </w:pPr>
      <w:r>
        <w:rPr>
          <w:rFonts w:ascii="仿宋_GB2312" w:hAnsi="仿宋_GB2312" w:eastAsia="仿宋_GB2312" w:cs="仿宋_GB2312"/>
          <w:i w:val="0"/>
          <w:strike w:val="0"/>
          <w:color w:val="000000"/>
          <w:sz w:val="32"/>
          <w:u w:val="none"/>
        </w:rPr>
        <w:t>本单位2022年预算未安排</w:t>
      </w:r>
      <w:r>
        <w:rPr>
          <w:rFonts w:ascii="仿宋_GB2312" w:hAnsi="仿宋_GB2312" w:eastAsia="仿宋_GB2312" w:cs="仿宋_GB2312"/>
          <w:b w:val="0"/>
          <w:i w:val="0"/>
          <w:strike w:val="0"/>
          <w:color w:val="000000"/>
          <w:spacing w:val="0"/>
          <w:sz w:val="32"/>
          <w:u w:val="none"/>
        </w:rPr>
        <w:t>一般公共预算“三公”经费支出。</w:t>
      </w:r>
    </w:p>
    <w:p>
      <w:pPr>
        <w:snapToGrid w:val="0"/>
        <w:spacing w:before="0" w:after="0" w:line="560" w:lineRule="exact"/>
        <w:ind w:left="0" w:right="0" w:firstLine="640" w:firstLineChars="200"/>
        <w:jc w:val="both"/>
      </w:pPr>
      <w:r>
        <w:rPr>
          <w:rFonts w:ascii="黑体" w:hAnsi="黑体" w:eastAsia="黑体" w:cs="黑体"/>
          <w:i w:val="0"/>
          <w:strike w:val="0"/>
          <w:color w:val="000000"/>
          <w:sz w:val="32"/>
          <w:u w:val="none"/>
        </w:rPr>
        <w:t>八、名词解释</w:t>
      </w:r>
    </w:p>
    <w:p>
      <w:pPr>
        <w:snapToGrid w:val="0"/>
        <w:spacing w:before="0" w:after="0" w:line="560" w:lineRule="exact"/>
        <w:ind w:left="0" w:right="0" w:firstLine="643"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b/>
          <w:i w:val="0"/>
          <w:strike w:val="0"/>
          <w:color w:val="000000"/>
          <w:sz w:val="32"/>
          <w:u w:val="none"/>
        </w:rPr>
        <w:t>（一）一般公共预算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（二）政府性基金预算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（三）国有资本经营预算</w:t>
      </w:r>
      <w:r>
        <w:rPr>
          <w:rFonts w:ascii="'Times New Roman'" w:hAnsi="'Times New Roman'" w:eastAsia="'Times New Roman'" w:cs="'Times New Roman'"/>
          <w:b/>
          <w:i w:val="0"/>
          <w:strike w:val="0"/>
          <w:color w:val="000000"/>
          <w:sz w:val="32"/>
          <w:u w:val="none"/>
        </w:rPr>
        <w:t xml:space="preserve">: </w:t>
      </w:r>
      <w:r>
        <w:rPr>
          <w:rFonts w:ascii="仿宋_GB2312" w:hAnsi="仿宋_GB2312" w:eastAsia="仿宋_GB2312" w:cs="仿宋_GB2312"/>
          <w:i w:val="0"/>
          <w:strike w:val="0"/>
          <w:color w:val="000000"/>
          <w:sz w:val="32"/>
          <w:u w:val="none"/>
        </w:rPr>
        <w:t>是对国有资本收益作出支出安排的收支预算。应当按照收支平衡的原则编制，不列赤字，并安排资金调入一般公共预算。</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（四）社会保险基金预算</w:t>
      </w:r>
      <w:r>
        <w:rPr>
          <w:rFonts w:ascii="'Times New Roman'" w:hAnsi="'Times New Roman'" w:eastAsia="'Times New Roman'" w:cs="'Times New Roman'"/>
          <w:b/>
          <w:i w:val="0"/>
          <w:strike w:val="0"/>
          <w:color w:val="000000"/>
          <w:sz w:val="32"/>
          <w:u w:val="none"/>
        </w:rPr>
        <w:t>:</w:t>
      </w:r>
      <w:r>
        <w:rPr>
          <w:rFonts w:ascii="'Times New Roman'" w:hAnsi="'Times New Roman'" w:eastAsia="'Times New Roman'" w:cs="'Times New Roman'"/>
          <w:i w:val="0"/>
          <w:strike w:val="0"/>
          <w:color w:val="000000"/>
          <w:sz w:val="32"/>
          <w:u w:val="none"/>
        </w:rPr>
        <w:t xml:space="preserve"> </w:t>
      </w:r>
      <w:r>
        <w:rPr>
          <w:rFonts w:ascii="仿宋_GB2312" w:hAnsi="仿宋_GB2312" w:eastAsia="仿宋_GB2312" w:cs="仿宋_GB2312"/>
          <w:i w:val="0"/>
          <w:strike w:val="0"/>
          <w:color w:val="000000"/>
          <w:sz w:val="32"/>
          <w:u w:val="none"/>
        </w:rPr>
        <w:t>是对社会保险缴款、一般公共预算安排和其他方式筹集的资金，专项用于社会保险的收支预算。应当按照统筹层次和社会保险项目分别编制，做到收支平衡。</w:t>
      </w:r>
    </w:p>
    <w:p>
      <w:pP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（五）</w:t>
      </w:r>
      <w:r>
        <w:rPr>
          <w:rFonts w:ascii="Times New Roman" w:hAnsi="Times New Roman" w:eastAsia="Times New Roman" w:cs="Times New Roman"/>
          <w:b/>
          <w:i w:val="0"/>
          <w:strike w:val="0"/>
          <w:color w:val="000000"/>
          <w:sz w:val="32"/>
          <w:u w:val="none"/>
        </w:rPr>
        <w:t>“</w:t>
      </w:r>
      <w:r>
        <w:rPr>
          <w:rFonts w:ascii="仿宋_GB2312" w:hAnsi="仿宋_GB2312" w:eastAsia="仿宋_GB2312" w:cs="仿宋_GB2312"/>
          <w:b/>
          <w:i w:val="0"/>
          <w:strike w:val="0"/>
          <w:color w:val="000000"/>
          <w:sz w:val="32"/>
          <w:u w:val="none"/>
        </w:rPr>
        <w:t>三公</w:t>
      </w:r>
      <w:r>
        <w:rPr>
          <w:rFonts w:ascii="Times New Roman" w:hAnsi="Times New Roman" w:eastAsia="Times New Roman" w:cs="Times New Roman"/>
          <w:b/>
          <w:i w:val="0"/>
          <w:strike w:val="0"/>
          <w:color w:val="000000"/>
          <w:sz w:val="32"/>
          <w:u w:val="none"/>
        </w:rPr>
        <w:t>”</w:t>
      </w:r>
      <w:r>
        <w:rPr>
          <w:rFonts w:ascii="仿宋_GB2312" w:hAnsi="仿宋_GB2312" w:eastAsia="仿宋_GB2312" w:cs="仿宋_GB2312"/>
          <w:b/>
          <w:i w:val="0"/>
          <w:strike w:val="0"/>
          <w:color w:val="000000"/>
          <w:sz w:val="32"/>
          <w:u w:val="none"/>
        </w:rPr>
        <w:t>经费：</w:t>
      </w:r>
      <w:r>
        <w:rPr>
          <w:rFonts w:ascii="仿宋_GB2312" w:hAnsi="仿宋_GB2312" w:eastAsia="仿宋_GB2312" w:cs="仿宋_GB2312"/>
          <w:i w:val="0"/>
          <w:strike w:val="0"/>
          <w:color w:val="000000"/>
          <w:sz w:val="32"/>
          <w:u w:val="none"/>
        </w:rPr>
        <w:t>是指商品和服务支出中的因公出国（境）费用、公务用车购置及运行维护费和公务接待费。</w:t>
      </w:r>
    </w:p>
    <w:p>
      <w:pPr>
        <w:pBdr>
          <w:bottom w:val="none" w:color="auto" w:sz="0" w:space="0"/>
        </w:pBdr>
        <w:snapToGrid w:val="0"/>
        <w:spacing w:before="0" w:after="0" w:line="560" w:lineRule="exact"/>
        <w:ind w:left="0" w:right="0" w:firstLine="643" w:firstLineChars="200"/>
        <w:jc w:val="both"/>
      </w:pPr>
      <w:r>
        <w:rPr>
          <w:rFonts w:ascii="仿宋_GB2312" w:hAnsi="仿宋_GB2312" w:eastAsia="仿宋_GB2312" w:cs="仿宋_GB2312"/>
          <w:b/>
          <w:i w:val="0"/>
          <w:strike w:val="0"/>
          <w:color w:val="000000"/>
          <w:sz w:val="32"/>
          <w:u w:val="none"/>
        </w:rPr>
        <w:t>（六）机关运行经费：</w:t>
      </w:r>
      <w:r>
        <w:rPr>
          <w:rFonts w:ascii="仿宋_GB2312" w:hAnsi="仿宋_GB2312" w:eastAsia="仿宋_GB2312" w:cs="仿宋_GB2312"/>
          <w:i w:val="0"/>
          <w:strike w:val="0"/>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line="240" w:lineRule="auto"/>
      </w:pPr>
    </w:p>
    <w:p>
      <w:pPr>
        <w:pStyle w:val="3"/>
        <w:snapToGrid/>
        <w:spacing w:line="240" w:lineRule="auto"/>
        <w:jc w:val="left"/>
      </w:pPr>
    </w:p>
    <w:p>
      <w:pPr>
        <w:snapToGrid/>
        <w:spacing w:line="240" w:lineRule="auto"/>
      </w:pPr>
    </w:p>
    <w:sectPr>
      <w:pgSz w:w="16838" w:h="11905"/>
      <w:pgMar w:top="1417" w:right="1361" w:bottom="1417" w:left="1361" w:header="720" w:footer="720" w:gutter="0"/>
      <w:cols w:space="720" w:num="1"/>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ZDJmMGJkMDgxYjdmOWFhZmI2ZDk2MTdhYTRiNjMifQ=="/>
  </w:docVars>
  <w:rsids>
    <w:rsidRoot w:val="00000000"/>
    <w:rsid w:val="1F0B3750"/>
    <w:rsid w:val="372E06D5"/>
    <w:rsid w:val="65A75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240" w:lineRule="auto"/>
      <w:jc w:val="left"/>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9"/>
    <w:pPr>
      <w:keepNext/>
      <w:keepLines/>
      <w:spacing w:before="0" w:after="0" w:line="408" w:lineRule="auto"/>
      <w:jc w:val="center"/>
      <w:outlineLvl w:val="0"/>
    </w:pPr>
    <w:rPr>
      <w:b/>
      <w:bCs/>
      <w:color w:val="1A1A1A"/>
      <w:sz w:val="48"/>
      <w:szCs w:val="48"/>
    </w:rPr>
  </w:style>
  <w:style w:type="table" w:styleId="5">
    <w:name w:val="Table Grid"/>
    <w:basedOn w:val="4"/>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melo-codeblock-Base-theme-char"/>
    <w:qFormat/>
    <w:uiPriority w:val="0"/>
    <w:rPr>
      <w:rFonts w:ascii="Monaco" w:hAnsi="Monaco" w:eastAsia="Monaco" w:cs="Monaco"/>
      <w:color w:val="000000"/>
      <w:sz w:val="21"/>
    </w:rPr>
  </w:style>
  <w:style w:type="paragraph" w:customStyle="1" w:styleId="9">
    <w:name w:val="melo-codeblock-Base-theme-para"/>
    <w:basedOn w:val="1"/>
    <w:qFormat/>
    <w:uiPriority w:val="0"/>
    <w:pPr>
      <w:spacing w:before="0" w:after="0" w:line="360" w:lineRule="auto"/>
    </w:pPr>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2023-09-04T16:35:00Z</dcterms:created>
  <dc:creator>Lenovo</dc:creator>
  <cp:lastModifiedBy>梁凉凉的</cp:lastModifiedBy>
  <dcterms:modified xsi:type="dcterms:W3CDTF">2023-10-13T03:50:57Z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EEDCD4AC38EC4B4C9AB11B2415BFB6B6_12</vt:lpwstr>
  </property>
</Properties>
</file>