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color w:val="000000"/>
          <w:kern w:val="2"/>
          <w:sz w:val="44"/>
          <w:szCs w:val="44"/>
        </w:rPr>
        <w:t>中共株洲市渌口区纪律检查委员会 株洲市渌口区监察委员会2021年部门决算公开说明</w:t>
      </w:r>
      <w:r>
        <w:rPr>
          <w:rFonts w:hint="eastAsia" w:ascii="等线" w:hAnsi="等线" w:eastAsia="等线" w:cs="Times New Roman"/>
          <w:color w:val="000000"/>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color w:val="000000"/>
          <w:kern w:val="2"/>
          <w:sz w:val="32"/>
          <w:szCs w:val="32"/>
        </w:rPr>
        <w:t xml:space="preserve"> </w:t>
      </w:r>
      <w:r>
        <w:rPr>
          <w:rFonts w:hint="eastAsia"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第一部分 中共株洲市渌口区纪律检查委员会 株洲市渌口区监察委员会概况</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eastAsia"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eastAsia"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eastAsia" w:ascii="等线" w:hAnsi="等线" w:eastAsia="等线" w:cs="Times New Roman"/>
          <w:color w:val="000000"/>
          <w:kern w:val="2"/>
          <w:sz w:val="27"/>
          <w:szCs w:val="27"/>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第一部分 中共株洲市渌口区纪律检查委员会 株洲市渌口区监察委员会概况</w:t>
      </w:r>
      <w:r>
        <w:rPr>
          <w:rFonts w:hint="eastAsia" w:ascii="等线" w:hAnsi="等线" w:eastAsia="等线" w:cs="Times New Roman"/>
          <w:b/>
          <w:bCs/>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黑体" w:hAnsi="宋体" w:eastAsia="黑体" w:cs="黑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1、负责全区的纪律检查工作。贯彻落实党中央、中央纪委、省委、省纪委、市委、市纪委和区委关于纪律检查工作的决定，维护党的的章程和其他党内法规，检查党的路线方针政策和决议的执行情况，协助区委推进全面从严治党、加强党风廉政建设和组织协调反腐败工作。</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2、依照党的章程和其他党内法规履行监督、执纪、问责职责。</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3、在区委领导下组织开展巡察工作。</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4、负责全区监察工作。</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5、依照法律规定履行监督、调查、处置职责。</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6、负责组织协调全区全面从严治党、党风廉政建设和反腐败宣传教育工作情况。</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7、负责综合分析全区全面从严治党、党风廉政建设和反腐败宣传教育工作情况。</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8、负责协调落实市纪委市监委交办的反腐败国际交流、合作等方面事宜。</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9、承办市纪委市监委和区委交办的其他任务。</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 xml:space="preserve">    中共株洲市渌口区纪律检查委员会 株洲市渌口区监察委员会内设机构21个包括：办公室、组织部、党风政风室、信访室、案件监督管理室、案件审理室、信息技术保障室、第一纪检监察室、第二纪检监察室、第三纪检监察室、第四纪检监察室、第五纪检监察室。派驻检察院纪检组、派驻卫健局纪检组、派驻食药工商质监局纪检组、派驻城管局纪检组、派驻住建局纪检组、派驻教育局纪检组、派驻财政局纪检组、派驻人社局纪检组。本部门共有编制人数79人,实有人数72人。</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 xml:space="preserve">    中共株洲市渌口区纪律检查委员会 株洲市渌口区监察委员会2021年部门决算汇总公开单位构成包括：中共株洲市渌口区纪律检查委员会 株洲市渌口区监察委员会本级及渌口区预防腐败警示教育中心。</w:t>
      </w:r>
      <w:r>
        <w:rPr>
          <w:rFonts w:hint="eastAsia" w:ascii="等线" w:hAnsi="等线" w:eastAsia="等线" w:cs="Times New Roman"/>
          <w:color w:val="000000"/>
          <w:kern w:val="2"/>
          <w:sz w:val="27"/>
          <w:szCs w:val="27"/>
        </w:rPr>
        <w:t xml:space="preserve"> </w:t>
      </w:r>
    </w:p>
    <w:p>
      <w:pPr>
        <w:rPr>
          <w:rFonts w:hint="eastAsia" w:ascii="等线" w:hAnsi="等线" w:eastAsia="等线" w:cs="Times New Roman"/>
          <w:kern w:val="2"/>
          <w:sz w:val="21"/>
          <w:szCs w:val="21"/>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spacing w:before="0" w:beforeAutospacing="0" w:after="2" w:afterAutospacing="0"/>
        <w:ind w:left="0" w:firstLine="721"/>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eastAsia" w:ascii="等线" w:hAnsi="等线" w:eastAsia="等线" w:cs="Times New Roman"/>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20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799"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497"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02"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1002" w:type="pct"/>
            <w:gridSpan w:val="2"/>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收入</w:t>
            </w:r>
          </w:p>
        </w:tc>
        <w:tc>
          <w:tcPr>
            <w:tcW w:w="2500" w:type="pct"/>
            <w:gridSpan w:val="3"/>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1,739.94</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四、上级补助收入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五、事业收入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六、经营收入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七、附属单位上缴收入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八、其他收入</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24</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25</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26</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使用非财政拨款结余</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结余分配</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1497"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799"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9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67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94"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994"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财政拨款收入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上级补助收入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事业收入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附属单位上缴收入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纪检监察事务</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1,145.33</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1,145.33</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2011104</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大案要案查处</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516.70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516.70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2011199</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其他纪检监察事务支出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9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注：本表反映部门本年度取得的各项收入情况。本表金额转换为万元时，因四舍五入可能存在尾数误差。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2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2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0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75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05"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1105"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上缴上级支出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纪检监察事务</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1,145.33</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1,145.33</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2011104</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大案要案查处</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516.70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516.70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2011199</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其他纪检监察事务支出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注：本表反映部门本年度各项支出情况。本表金额转换为万元时，因四舍五入可能存在尾数误差。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8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15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66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5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11"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911" w:type="pct"/>
            <w:gridSpan w:val="2"/>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 入</w:t>
            </w:r>
          </w:p>
        </w:tc>
        <w:tc>
          <w:tcPr>
            <w:tcW w:w="3349" w:type="pct"/>
            <w:gridSpan w:val="6"/>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1,739.94</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25</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63</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48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115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64</w:t>
            </w:r>
          </w:p>
        </w:tc>
        <w:tc>
          <w:tcPr>
            <w:tcW w:w="6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4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4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82"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96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928"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1928" w:type="pct"/>
            <w:gridSpan w:val="2"/>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892" w:type="pct"/>
            <w:gridSpan w:val="3"/>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1,739.94</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一般公共服务支出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纪检监察事务</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1,663.04</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1,145.33</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1,145.33</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2011104</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大案要案查处</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516.70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516.70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2011199</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其他纪检监察事务支出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住房保障支出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住房改革支出</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2210201</w:t>
            </w: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5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3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22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82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53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22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366"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1366" w:type="pct"/>
            <w:gridSpan w:val="2"/>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人员经费</w:t>
            </w:r>
          </w:p>
        </w:tc>
        <w:tc>
          <w:tcPr>
            <w:tcW w:w="3182" w:type="pct"/>
            <w:gridSpan w:val="6"/>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工资福利支出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908.88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829.28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债务利息及费用支出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基本工资</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274.02</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127.74</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国内债务付息</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30102</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津贴补贴</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217.70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印刷费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11.64</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国外债务付息</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95.07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咨询费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310</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资本性支出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30106</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伙食补助费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1.03</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30204</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手续费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房屋建筑物购建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30107</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绩效工资</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118.28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0.61</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办公设备购置</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30108</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77.34</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电费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1.81</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专用设备购置</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职业年金缴费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邮电费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基础设施建设</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30110</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职工基本医疗保险缴费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44.55</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取暖费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大型修缮</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公务员医疗补助缴费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物业管理费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信息网络及软件购置更新</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30112</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其他社会保障缴费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差旅费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110.30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物资储备</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76.90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因公出国（境）费用</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土地补偿</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30114</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维修（护）费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2.57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31010</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安置补助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30199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其他工资福利支出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30214</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租赁费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0.42</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地上附着物和青苗补偿</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1.78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会议费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2.65</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拆迁补偿</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离休费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培训费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31013</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30302</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退休费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其他交通工具购置</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30303</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退职（役）费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专用材料费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文物和陈列品购置</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30304</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30224</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被装购置费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31022</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无形资产购置</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30305</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生活补助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30225</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专用燃料费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其他资本性支出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30306</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救济费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劳务费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264.80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30307</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委托业务费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17.78</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39906</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赠与</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30308</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助学金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工会经费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34.55</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39907</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国家赔偿费用支出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奖励金</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福利费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10.00</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39908</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对民间非营利组织和群众性自治组织补贴</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30310</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个人农业生产补贴</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30231</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公务用车运行维护费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5.27</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30311</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代缴社会保险费</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其他交通费用</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56.54</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30399</w:t>
            </w: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30240</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税金及附加费用</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5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30299</w:t>
            </w: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179.22</w:t>
            </w:r>
          </w:p>
        </w:tc>
        <w:tc>
          <w:tcPr>
            <w:tcW w:w="22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人员经费合计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910.66</w:t>
            </w:r>
          </w:p>
        </w:tc>
        <w:tc>
          <w:tcPr>
            <w:tcW w:w="2645" w:type="pct"/>
            <w:gridSpan w:val="5"/>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公用经费合计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833"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833" w:type="pct"/>
            <w:gridSpan w:val="2"/>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预算数</w:t>
            </w:r>
          </w:p>
        </w:tc>
        <w:tc>
          <w:tcPr>
            <w:tcW w:w="2500" w:type="pct"/>
            <w:gridSpan w:val="6"/>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nil"/>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2.40</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7.67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5.27</w:t>
            </w:r>
          </w:p>
        </w:tc>
        <w:tc>
          <w:tcPr>
            <w:tcW w:w="416"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07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368"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614"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33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47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816"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1816"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w:t>
            </w:r>
          </w:p>
        </w:tc>
        <w:tc>
          <w:tcPr>
            <w:tcW w:w="1281" w:type="pct"/>
            <w:gridSpan w:val="3"/>
            <w:tcBorders>
              <w:top w:val="single" w:color="666666" w:sz="6" w:space="0"/>
              <w:left w:val="nil"/>
              <w:bottom w:val="nil"/>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注：本表反映部门本年度政府性基金预算财政拨款收入、支出及结转和结余情况。本表金额转换为万元时，因四舍五入可能存在尾数误差。</w:t>
            </w:r>
          </w:p>
        </w:tc>
      </w:tr>
    </w:tbl>
    <w:p>
      <w:pPr>
        <w:spacing w:before="0" w:beforeAutospacing="0" w:after="2" w:afterAutospacing="0"/>
        <w:ind w:left="0" w:right="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971"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843" w:type="pct"/>
            <w:tcBorders>
              <w:top w:val="nil"/>
              <w:left w:val="nil"/>
              <w:bottom w:val="nil"/>
              <w:right w:val="nil"/>
            </w:tcBorders>
            <w:shd w:val="clear"/>
            <w:vAlign w:val="center"/>
          </w:tcPr>
          <w:p>
            <w:pPr>
              <w:pStyle w:val="16"/>
              <w:keepNext w:val="0"/>
              <w:keepLines w:val="0"/>
              <w:widowControl/>
              <w:suppressLineNumbers w:val="0"/>
              <w:rPr>
                <w:rFonts w:hint="eastAsia" w:ascii="宋体" w:hAnsi="宋体" w:eastAsia="宋体" w:cs="宋体"/>
                <w:kern w:val="0"/>
                <w:sz w:val="24"/>
                <w:szCs w:val="24"/>
                <w:bdr w:val="none" w:color="auto" w:sz="0" w:space="0"/>
              </w:rPr>
            </w:pPr>
          </w:p>
        </w:tc>
        <w:tc>
          <w:tcPr>
            <w:tcW w:w="1686" w:type="pct"/>
            <w:gridSpan w:val="2"/>
            <w:tcBorders>
              <w:top w:val="nil"/>
              <w:left w:val="nil"/>
              <w:bottom w:val="nil"/>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部门：中共株洲市渌口区纪律检查委员会 株洲市渌口区监察委员会</w:t>
            </w:r>
          </w:p>
        </w:tc>
        <w:tc>
          <w:tcPr>
            <w:tcW w:w="1686" w:type="pct"/>
            <w:gridSpan w:val="2"/>
            <w:tcBorders>
              <w:top w:val="nil"/>
              <w:left w:val="nil"/>
              <w:bottom w:val="single" w:color="666666" w:sz="6" w:space="0"/>
              <w:right w:val="nil"/>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530" w:type="pct"/>
            <w:gridSpan w:val="3"/>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6"/>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6"/>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注：本表反映部门本年度国有资本经营预算财政拨款支出情况。本表金额转换为万元时，因四舍五入可能存在尾数误差。</w:t>
            </w:r>
          </w:p>
        </w:tc>
      </w:tr>
    </w:tbl>
    <w:p>
      <w:pPr>
        <w:rPr>
          <w:rFonts w:hint="eastAsia" w:ascii="宋体" w:hAnsi="宋体" w:eastAsia="宋体" w:cs="宋体"/>
          <w:b/>
          <w:bCs/>
          <w:color w:val="000000"/>
          <w:kern w:val="2"/>
          <w:sz w:val="36"/>
          <w:szCs w:val="36"/>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eastAsia" w:ascii="等线" w:hAnsi="等线" w:eastAsia="等线" w:cs="Times New Roman"/>
          <w:color w:val="000000"/>
          <w:kern w:val="2"/>
          <w:sz w:val="21"/>
          <w:szCs w:val="21"/>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收、支总计1,739.94万元。与上一年度相比，收、支总计各增加429.01万元，增长32.73%。主要是因为人员增加以及留置案件增多，办案成本大幅增加，同时渌口区作为全省小微权力“监督一点通”服务平台建设试点单位。</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2021年度收入合计1,739.94万元，其中：财政拨款收入1,739.94万元，占100%；上级补助收入0万元，占0%；事业收入0万元，占0%；经营收入0万元，占0%；附属单位上缴收入0万元，占0%；其他收入0万元，占0%。</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2021年度支出合计1,739.94万元，其中：基本支出1,739.94万元，占100%；项目支出0万元，占0%；上缴上级支出0万元，占0%；经营支出0万元，占0%；对附属单位补助支出0万元，占0%。</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1,739.94万元。与上一年度相比，财政拨款收、支总计各增加429.01万元，增长32.73%。主要是因为人员增加以及留置案件增多，办案成本大幅增加，同时渌口区作为全省小微权力“监督一点通”服务平台建设试点单位。</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855"/>
        <w:rPr>
          <w:rFonts w:hint="eastAsia"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1,739.94万元，占本年支出合计的100%。与上一年度相比，财政拨款支出增加429.01万元，增长32.73%。主要是因为人员增加以及留置案件增多，办案成本大幅增加，同时渌口区作为全省小微权力“监督一点通”服务平台建设试点单位。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2021年度财政拨款支出1,739.94万元，主要用于以下方面：一般公共服务支出1,663.04万元，占95.58%；住房保障支出76.9万元，占4.42%。</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2021年度财政拨款支出年初预算数为1,247.42万元，支出决算数为1,739.94万元，完成年初预算的139.48%，其中：</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Style w:val="13"/>
          <w:rFonts w:hint="eastAsia" w:ascii="宋体" w:hAnsi="宋体" w:eastAsia="宋体" w:cs="宋体"/>
          <w:b/>
          <w:bCs/>
          <w:color w:val="000000"/>
          <w:sz w:val="32"/>
          <w:szCs w:val="32"/>
        </w:rPr>
        <w:t>1、一般公共服务支出（类）纪检监察事务（款）行政运行（项）</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年初预算为1,170.52万元，支出决算为1,145.33万元，完成年初预算的97.85%。决算数小于年初预算数的主要原因是：节约开支。</w:t>
      </w:r>
    </w:p>
    <w:p>
      <w:pPr>
        <w:pStyle w:val="14"/>
        <w:spacing w:before="0" w:beforeAutospacing="0" w:after="2" w:afterAutospacing="0"/>
        <w:ind w:left="0" w:firstLine="641"/>
        <w:rPr>
          <w:rFonts w:hint="eastAsia" w:ascii="等线" w:hAnsi="等线" w:eastAsia="等线" w:cs="Times New Roman"/>
          <w:kern w:val="2"/>
          <w:sz w:val="27"/>
          <w:szCs w:val="27"/>
        </w:rPr>
      </w:pPr>
      <w:r>
        <w:rPr>
          <w:rStyle w:val="13"/>
          <w:rFonts w:hint="eastAsia" w:ascii="宋体" w:hAnsi="宋体" w:eastAsia="宋体" w:cs="宋体"/>
          <w:b/>
          <w:bCs/>
          <w:color w:val="000000"/>
          <w:sz w:val="32"/>
          <w:szCs w:val="32"/>
        </w:rPr>
        <w:t>2、一般公共服务支出（类）纪检监察事务（款）大案要案查处（项）</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年初预算为0万元，支出决算为516.7万元，由于年初预算为0万元，无法计算百分比。决算数大于年初预算数的主要原因是：留置案件增多，办案成本大幅增加，年初无该项预算。</w:t>
      </w:r>
    </w:p>
    <w:p>
      <w:pPr>
        <w:pStyle w:val="14"/>
        <w:spacing w:before="0" w:beforeAutospacing="0" w:after="2" w:afterAutospacing="0"/>
        <w:ind w:left="0" w:firstLine="641"/>
        <w:rPr>
          <w:rFonts w:hint="eastAsia" w:ascii="等线" w:hAnsi="等线" w:eastAsia="等线" w:cs="Times New Roman"/>
          <w:kern w:val="2"/>
          <w:sz w:val="27"/>
          <w:szCs w:val="27"/>
        </w:rPr>
      </w:pPr>
      <w:r>
        <w:rPr>
          <w:rStyle w:val="13"/>
          <w:rFonts w:hint="eastAsia" w:ascii="宋体" w:hAnsi="宋体" w:eastAsia="宋体" w:cs="宋体"/>
          <w:b/>
          <w:bCs/>
          <w:color w:val="000000"/>
          <w:sz w:val="32"/>
          <w:szCs w:val="32"/>
        </w:rPr>
        <w:t>3、一般公共服务支出（类）纪检监察事务（款）其他纪检监察事务支出（项）</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年初预算为0万元，支出决算为1万元，由于年初预算为0万元，无法计算百分比。决算数大于年初预算数的主要原因是：召开区纪委全会开支，年初无预算。</w:t>
      </w:r>
    </w:p>
    <w:p>
      <w:pPr>
        <w:pStyle w:val="14"/>
        <w:spacing w:before="0" w:beforeAutospacing="0" w:after="2" w:afterAutospacing="0"/>
        <w:ind w:left="0" w:firstLine="641"/>
        <w:rPr>
          <w:rFonts w:hint="eastAsia" w:ascii="等线" w:hAnsi="等线" w:eastAsia="等线" w:cs="Times New Roman"/>
          <w:kern w:val="2"/>
          <w:sz w:val="27"/>
          <w:szCs w:val="27"/>
        </w:rPr>
      </w:pPr>
      <w:r>
        <w:rPr>
          <w:rStyle w:val="13"/>
          <w:rFonts w:hint="eastAsia" w:ascii="宋体" w:hAnsi="宋体" w:eastAsia="宋体" w:cs="宋体"/>
          <w:b/>
          <w:bCs/>
          <w:color w:val="000000"/>
          <w:sz w:val="32"/>
          <w:szCs w:val="32"/>
        </w:rPr>
        <w:t>4、住房保障支出（类）住房改革支出（款）住房公积金（项）</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年初预算为76.9万元，支出决算为76.9万元，完成年初预算的100%。决算数与年初预算数一致，我单位严格按预算执行决算。</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1,739.94万元，其中：人员经费910.66万元，占基本支出的52.34%，主要包括：基本工资、津贴补贴、奖金、伙食补助费、绩效工资、机关事业单位基本养老保险缴费、职工基本医疗保险缴费、其他社会保障缴费、住房公积金、生活补助。公用经费829.28万元，占基本支出的47.66%，主要包括：办公费、印刷费、水费、电费、差旅费、维修（护）费、租赁费、会议费、培训费、公务接待费、劳务费、委托业务费、工会经费、福利费、公务用车运行维护费、其他交通费用、其他商品和服务支出。</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2021年度“三公”经费财政拨款支出预算为7.67万元，支出决算为7.67万元，完成预算的100%，</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公务接待费支出预算为2.4万元，支出决算为2.4万元，完成预算的100%，决算数与预算数一致，我单位严格按预算执行决算，公务接待费支出与上年持平。</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公务用车购置费及运行维护费支出预算为5.27万元，支出决算为5.27万元，完成预算的100%，决算数与预算数一致，我单位严格按预算执行决算，与上年相比减少1.62万元，下降23.51%，下降的主要原因是节约开支。</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2021年度“三公”经费财政拨款支出决算中，公务接待费支出决算2.4万元，占31.29%，因公出国（境）费支出决算0万元，占0%，公务用车购置费及运行维护费支出决算5.27万元，占68.71%。其中：</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2、公务接待费支出决算为2.4万元，全年共接待来访团组25个、来宾360人次，主要是其他省、市、区来我区考察学习“监督一点通”工作发生的接待支出。</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5.27万元，其中：公务用车购置费0万元，本单位更新公务用车0辆。公务用车运行维护费5.27万元，主要是公务用车的维护保险使用等支出，截至2021年12月31日，我单位开支财政拨款的公务用车保有量为5辆。</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color w:val="000000"/>
          <w:kern w:val="2"/>
          <w:sz w:val="32"/>
          <w:szCs w:val="32"/>
        </w:rPr>
        <w:t xml:space="preserve">中共株洲市渌口区纪律检查委员会 株洲市渌口区监察委员会2021年度没有政府性基金收入，也没有使用政府性基金安排的支出，并已公开空表。 </w:t>
      </w:r>
    </w:p>
    <w:p>
      <w:pPr>
        <w:pStyle w:val="14"/>
        <w:spacing w:before="0" w:beforeAutospacing="0" w:after="2" w:afterAutospacing="0"/>
        <w:ind w:left="0" w:firstLine="641"/>
        <w:rPr>
          <w:rFonts w:hint="eastAsia"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eastAsia"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 xml:space="preserve">中共株洲市渌口区纪律检查委员会 株洲市渌口区监察委员会2021年度机关运行经费支出829.28万元，比年初预算数增加829.28万元。主要原因是：因预算时未将机关运行经费单独列出，包含在行政运行费用之中。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i w:val="0"/>
          <w:iCs w:val="0"/>
          <w:caps w:val="0"/>
          <w:color w:val="000000"/>
          <w:spacing w:val="0"/>
          <w:kern w:val="2"/>
          <w:sz w:val="32"/>
          <w:szCs w:val="32"/>
        </w:rPr>
        <w:t>十、一般性支出情况</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2021年度中共株洲市渌口区纪律检查委员会 株洲市渌口区监察委员会一般性支出605.53万元，其中：会议费2.65万元，用于召开全区党风廉政建设和反腐败工作会议，人数300人，会议内容为全区党风廉政建设和反腐败工作会议。开支培训费1万元，用于开展全区纪检监察工作及全市监督一点通工作培训，人数105人，培训内容为纪检监察业务知识及全市监督一点通业务及操作。未举办节庆、晚会、论坛、赛事活动等。办公费127.74万元；印刷费11.64万元；咨询费0万元；水费0.61万元；电费1.81万元；邮电费0万元；取暖费0万元；物业管理费0万元；差旅费110.3万元；因公出国（境）费用0万元；维修（护）费2.57万元；租赁费0.42万元；公务接待费2.4万元；被装购置费0万元；劳务费264.8万元；委托业务费17.78万元；公务用车运行维护费5.27万元；其他交通费用56.54万元；房屋建筑物购建0万元；办公设备购置0万元；公务用车购置0万元；其他交通工具购置0万元。</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i w:val="0"/>
          <w:iCs w:val="0"/>
          <w:caps w:val="0"/>
          <w:color w:val="000000"/>
          <w:spacing w:val="0"/>
          <w:kern w:val="2"/>
          <w:sz w:val="32"/>
          <w:szCs w:val="32"/>
        </w:rPr>
        <w:t>十一、关于政府采购支出说明</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jc w:val="both"/>
        <w:rPr>
          <w:rFonts w:hint="eastAsia" w:ascii="宋体" w:hAnsi="宋体" w:eastAsia="宋体" w:cs="宋体"/>
          <w:i w:val="0"/>
          <w:iCs w:val="0"/>
          <w:caps w:val="0"/>
          <w:color w:val="000000"/>
          <w:spacing w:val="0"/>
          <w:kern w:val="2"/>
          <w:sz w:val="32"/>
          <w:szCs w:val="32"/>
        </w:rPr>
      </w:pPr>
      <w:r>
        <w:rPr>
          <w:rFonts w:hint="eastAsia" w:ascii="宋体" w:hAnsi="宋体" w:eastAsia="宋体" w:cs="宋体"/>
          <w:i w:val="0"/>
          <w:iCs w:val="0"/>
          <w:caps w:val="0"/>
          <w:color w:val="000000"/>
          <w:spacing w:val="0"/>
          <w:kern w:val="2"/>
          <w:sz w:val="32"/>
          <w:szCs w:val="32"/>
        </w:rPr>
        <w:t>中共株洲市渌口区纪律检查委员会 株洲市渌口区监察委员会2021年度政府采购支出总额0万元，其中：政府采购货物支出0万元、政府采购工程支出0万元、政府采购服务支出0万元。</w:t>
      </w:r>
      <w:r>
        <w:rPr>
          <w:rFonts w:hint="eastAsia" w:ascii="宋体" w:hAnsi="宋体" w:eastAsia="宋体" w:cs="宋体"/>
          <w:i w:val="0"/>
          <w:iCs w:val="0"/>
          <w:caps w:val="0"/>
          <w:color w:val="000000"/>
          <w:spacing w:val="0"/>
          <w:kern w:val="2"/>
          <w:sz w:val="32"/>
          <w:szCs w:val="32"/>
        </w:rPr>
        <w:t xml:space="preserve">授予中小企业合同金额0万元，由于政府采购支出总额为0，无法计算所占百分比，其中：授予小微企业合同金额0万元，由于政府采购支出总额为0，无法计算所占百分比。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i w:val="0"/>
          <w:iCs w:val="0"/>
          <w:caps w:val="0"/>
          <w:color w:val="000000"/>
          <w:spacing w:val="0"/>
          <w:kern w:val="2"/>
          <w:sz w:val="32"/>
          <w:szCs w:val="32"/>
        </w:rPr>
        <w:t>十二、关于国有资产占用情况说明</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截至2021年12月31日，中共株洲市渌口区纪律检查委员会 株洲市渌口区监察委员会共有车辆5辆（台），其中：副部（省）级及以上领导用车0辆、主要领导干部用车0辆、机要通信用车0辆、应急保障用车0辆、执法执勤用车0辆、特种专业技术用车0辆、其他用车5辆，其他用车主要是执法办案；单价50万元（含）以上通用设备0台（套），单价100万元（含）以上专用设备0台（套）。</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b/>
          <w:bCs/>
          <w:i w:val="0"/>
          <w:iCs w:val="0"/>
          <w:caps w:val="0"/>
          <w:color w:val="000000"/>
          <w:spacing w:val="0"/>
          <w:kern w:val="2"/>
          <w:sz w:val="32"/>
          <w:szCs w:val="32"/>
        </w:rPr>
        <w:t>十三、关于2021年度预算绩效情况说明</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Style w:val="13"/>
          <w:rFonts w:hint="eastAsia" w:ascii="宋体" w:hAnsi="宋体" w:eastAsia="宋体" w:cs="宋体"/>
          <w:b/>
          <w:bCs/>
          <w:i w:val="0"/>
          <w:iCs w:val="0"/>
          <w:caps w:val="0"/>
          <w:color w:val="000000"/>
          <w:spacing w:val="0"/>
          <w:sz w:val="36"/>
          <w:szCs w:val="36"/>
        </w:rPr>
        <w:t>（1）绩效管理评价工作开展情况</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根据预算绩效管理要求，我部门组织对2021年度一般公共预算项目支出全面开展绩效自评，其中，一级项目0个，二级项目0个，共涉及资金0万元，占一般公共预算项目支出总额的0%。组织开展整体支出绩效评价，涉及一般公共预算资金1739.94万元，政府性基金预算支出0万元。从评价情况来看，2021年渌口区纪委监委贯彻落实了党中央、中央纪委、省委、省纪委、市委、市纪委和区委关于纪律检查工作的决定，维护了党的章程和其他党内法规，检查党的路线方针政策和决议的执行情况，协助区委推进全面从严治党、加强了党风廉政建设和组织协调反腐败工作。</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积极推进中央纪委小微权力“监督一点通”服务平台试点各项工作，突出融合、创新方式、积极探索，取得良好效果，小微权力、侵害群众利益、脱贫攻坚成果同乡村振兴有效衔接等问题得到有效治理，群众幸福感进一步提升。</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坚持无禁区、全覆盖、零容忍，保持反腐败高压态势、加大了案件的查办力度，为青春渌口，创业新城提供了坚实的纪律保障。</w:t>
      </w:r>
    </w:p>
    <w:p>
      <w:pPr>
        <w:pStyle w:val="14"/>
        <w:spacing w:before="0" w:beforeAutospacing="0" w:after="2" w:afterAutospacing="0"/>
        <w:ind w:left="0" w:firstLine="640"/>
        <w:rPr>
          <w:rFonts w:hint="eastAsia" w:ascii="等线" w:hAnsi="等线" w:eastAsia="等线" w:cs="Times New Roman"/>
          <w:kern w:val="2"/>
          <w:sz w:val="27"/>
          <w:szCs w:val="27"/>
        </w:rPr>
      </w:pPr>
      <w:r>
        <w:rPr>
          <w:rStyle w:val="13"/>
          <w:rFonts w:hint="eastAsia" w:ascii="宋体" w:hAnsi="宋体" w:eastAsia="宋体" w:cs="宋体"/>
          <w:b/>
          <w:bCs/>
          <w:i w:val="0"/>
          <w:iCs w:val="0"/>
          <w:caps w:val="0"/>
          <w:color w:val="000000"/>
          <w:spacing w:val="0"/>
          <w:sz w:val="36"/>
          <w:szCs w:val="36"/>
        </w:rPr>
        <w:t>（2）部门决算中项目绩效自评结果</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没有项目，故没有项目自评报告</w:t>
      </w:r>
      <w:r>
        <w:rPr>
          <w:rFonts w:hint="eastAsia" w:ascii="等线" w:hAnsi="等线" w:eastAsia="等线" w:cs="Times New Roman"/>
          <w:i w:val="0"/>
          <w:iCs w:val="0"/>
          <w:caps w:val="0"/>
          <w:color w:val="000000"/>
          <w:spacing w:val="0"/>
          <w:kern w:val="2"/>
          <w:sz w:val="27"/>
          <w:szCs w:val="27"/>
        </w:rPr>
        <w:t xml:space="preserve"> </w:t>
      </w:r>
    </w:p>
    <w:p>
      <w:pPr>
        <w:pStyle w:val="14"/>
        <w:spacing w:before="0" w:beforeAutospacing="0" w:after="2" w:afterAutospacing="0"/>
        <w:ind w:left="0" w:firstLine="640"/>
        <w:rPr>
          <w:rFonts w:hint="eastAsia" w:ascii="等线" w:hAnsi="等线" w:eastAsia="等线" w:cs="Times New Roman"/>
          <w:kern w:val="2"/>
          <w:sz w:val="27"/>
          <w:szCs w:val="27"/>
        </w:rPr>
      </w:pPr>
      <w:r>
        <w:rPr>
          <w:rStyle w:val="13"/>
          <w:rFonts w:hint="eastAsia" w:ascii="宋体" w:hAnsi="宋体" w:eastAsia="宋体" w:cs="宋体"/>
          <w:b/>
          <w:bCs/>
          <w:i w:val="0"/>
          <w:iCs w:val="0"/>
          <w:caps w:val="0"/>
          <w:color w:val="000000"/>
          <w:spacing w:val="0"/>
          <w:sz w:val="36"/>
          <w:szCs w:val="36"/>
        </w:rPr>
        <w:t>（3）部门评价项目绩效评价结果</w:t>
      </w:r>
    </w:p>
    <w:p>
      <w:pPr>
        <w:pStyle w:val="14"/>
        <w:spacing w:before="0" w:beforeAutospacing="0" w:after="2" w:afterAutospacing="0"/>
        <w:ind w:left="0" w:firstLine="640"/>
        <w:rPr>
          <w:rFonts w:hint="eastAsia" w:ascii="等线" w:hAnsi="等线" w:eastAsia="等线" w:cs="Times New Roman"/>
          <w:kern w:val="2"/>
          <w:sz w:val="27"/>
          <w:szCs w:val="27"/>
        </w:rPr>
      </w:pPr>
      <w:r>
        <w:rPr>
          <w:rFonts w:hint="eastAsia" w:ascii="宋体" w:hAnsi="宋体" w:eastAsia="宋体" w:cs="宋体"/>
          <w:i w:val="0"/>
          <w:iCs w:val="0"/>
          <w:caps w:val="0"/>
          <w:color w:val="000000"/>
          <w:spacing w:val="0"/>
          <w:kern w:val="2"/>
          <w:sz w:val="32"/>
          <w:szCs w:val="32"/>
        </w:rPr>
        <w:t>绩效评价报告见第五部分附件处。</w:t>
      </w:r>
    </w:p>
    <w:p>
      <w:pPr>
        <w:keepNext w:val="0"/>
        <w:keepLines w:val="0"/>
        <w:widowControl/>
        <w:suppressLineNumbers w:val="0"/>
        <w:jc w:val="left"/>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b/>
          <w:bCs/>
          <w:i w:val="0"/>
          <w:iCs w:val="0"/>
          <w:caps w:val="0"/>
          <w:color w:val="000000"/>
          <w:spacing w:val="0"/>
          <w:kern w:val="2"/>
          <w:sz w:val="36"/>
          <w:szCs w:val="36"/>
        </w:rPr>
        <w:t>第四部分 名词解释</w:t>
      </w:r>
      <w:r>
        <w:rPr>
          <w:rFonts w:hint="eastAsia" w:ascii="等线" w:hAnsi="等线" w:eastAsia="等线" w:cs="Times New Roman"/>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eastAsia"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财政拨款收入</w:t>
      </w:r>
      <w:r>
        <w:rPr>
          <w:rFonts w:hint="eastAsia" w:ascii="宋体" w:hAnsi="宋体" w:eastAsia="宋体" w:cs="宋体"/>
          <w:i w:val="0"/>
          <w:iCs w:val="0"/>
          <w:caps w:val="0"/>
          <w:color w:val="000000"/>
          <w:spacing w:val="0"/>
          <w:kern w:val="2"/>
          <w:sz w:val="32"/>
          <w:szCs w:val="32"/>
        </w:rPr>
        <w:t>：指财政当年拨付的资金。包括一般公共预算财政拨款和政府性基金财政拨款。</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上级补助收入</w:t>
      </w:r>
      <w:r>
        <w:rPr>
          <w:rFonts w:hint="eastAsia" w:ascii="宋体" w:hAnsi="宋体" w:eastAsia="宋体" w:cs="宋体"/>
          <w:i w:val="0"/>
          <w:iCs w:val="0"/>
          <w:caps w:val="0"/>
          <w:color w:val="000000"/>
          <w:spacing w:val="0"/>
          <w:kern w:val="2"/>
          <w:sz w:val="32"/>
          <w:szCs w:val="32"/>
        </w:rPr>
        <w:t>：指事业单位从主管部门和上级单位取得的非财政补助收入。</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事业收入：</w:t>
      </w:r>
      <w:r>
        <w:rPr>
          <w:rFonts w:hint="eastAsia" w:ascii="宋体" w:hAnsi="宋体" w:eastAsia="宋体" w:cs="宋体"/>
          <w:i w:val="0"/>
          <w:iCs w:val="0"/>
          <w:caps w:val="0"/>
          <w:color w:val="000000"/>
          <w:spacing w:val="0"/>
          <w:kern w:val="2"/>
          <w:sz w:val="32"/>
          <w:szCs w:val="32"/>
        </w:rPr>
        <w:t>指事业单位开展专业业务活动及辅助活动所取得的收入。</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经营收入：</w:t>
      </w:r>
      <w:r>
        <w:rPr>
          <w:rFonts w:hint="eastAsia" w:ascii="宋体" w:hAnsi="宋体" w:eastAsia="宋体" w:cs="宋体"/>
          <w:i w:val="0"/>
          <w:iCs w:val="0"/>
          <w:caps w:val="0"/>
          <w:color w:val="000000"/>
          <w:spacing w:val="0"/>
          <w:kern w:val="2"/>
          <w:sz w:val="32"/>
          <w:szCs w:val="32"/>
        </w:rPr>
        <w:t>指事业单位在专业业务活动及其辅助活动之外开展非独立核算经营活动取得的收入。</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附属单位上缴收入</w:t>
      </w:r>
      <w:r>
        <w:rPr>
          <w:rFonts w:hint="eastAsia" w:ascii="宋体" w:hAnsi="宋体" w:eastAsia="宋体" w:cs="宋体"/>
          <w:i w:val="0"/>
          <w:iCs w:val="0"/>
          <w:caps w:val="0"/>
          <w:color w:val="000000"/>
          <w:spacing w:val="0"/>
          <w:kern w:val="2"/>
          <w:sz w:val="32"/>
          <w:szCs w:val="32"/>
        </w:rPr>
        <w:t>：指事业单位附属独立核算单位按照有关规定上缴的收入。</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其他收入</w:t>
      </w:r>
      <w:r>
        <w:rPr>
          <w:rFonts w:hint="eastAsia" w:ascii="宋体" w:hAnsi="宋体" w:eastAsia="宋体" w:cs="宋体"/>
          <w:i w:val="0"/>
          <w:iCs w:val="0"/>
          <w:caps w:val="0"/>
          <w:color w:val="000000"/>
          <w:spacing w:val="0"/>
          <w:kern w:val="2"/>
          <w:sz w:val="32"/>
          <w:szCs w:val="32"/>
        </w:rPr>
        <w:t>：指除上述“财政拨款收入”、“事业收入”、“经营收入”等以外的收入。</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用事业基金弥补收支差额</w:t>
      </w:r>
      <w:r>
        <w:rPr>
          <w:rFonts w:hint="eastAsia" w:ascii="宋体" w:hAnsi="宋体" w:eastAsia="宋体" w:cs="宋体"/>
          <w:i w:val="0"/>
          <w:iCs w:val="0"/>
          <w:caps w:val="0"/>
          <w:color w:val="000000"/>
          <w:spacing w:val="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年初结转和结余</w:t>
      </w:r>
      <w:r>
        <w:rPr>
          <w:rFonts w:hint="eastAsia" w:ascii="宋体" w:hAnsi="宋体" w:eastAsia="宋体" w:cs="宋体"/>
          <w:i w:val="0"/>
          <w:iCs w:val="0"/>
          <w:caps w:val="0"/>
          <w:color w:val="000000"/>
          <w:spacing w:val="0"/>
          <w:kern w:val="2"/>
          <w:sz w:val="32"/>
          <w:szCs w:val="32"/>
        </w:rPr>
        <w:t>：指以前年度尚未完成、结转到本年按有关规定继续使用的资金。</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结余分配</w:t>
      </w:r>
      <w:r>
        <w:rPr>
          <w:rFonts w:hint="eastAsia" w:ascii="宋体" w:hAnsi="宋体" w:eastAsia="宋体" w:cs="宋体"/>
          <w:i w:val="0"/>
          <w:iCs w:val="0"/>
          <w:caps w:val="0"/>
          <w:color w:val="000000"/>
          <w:spacing w:val="0"/>
          <w:kern w:val="2"/>
          <w:sz w:val="32"/>
          <w:szCs w:val="32"/>
        </w:rPr>
        <w:t>：指事业事位按规定从非财政补助结余中分配的事业基金和职工福利基金等。</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年末结转和结余</w:t>
      </w:r>
      <w:r>
        <w:rPr>
          <w:rFonts w:hint="eastAsia" w:ascii="宋体" w:hAnsi="宋体" w:eastAsia="宋体" w:cs="宋体"/>
          <w:i w:val="0"/>
          <w:iCs w:val="0"/>
          <w:caps w:val="0"/>
          <w:color w:val="000000"/>
          <w:spacing w:val="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基本支出</w:t>
      </w:r>
      <w:r>
        <w:rPr>
          <w:rFonts w:hint="eastAsia" w:ascii="宋体" w:hAnsi="宋体" w:eastAsia="宋体" w:cs="宋体"/>
          <w:i w:val="0"/>
          <w:iCs w:val="0"/>
          <w:caps w:val="0"/>
          <w:color w:val="000000"/>
          <w:spacing w:val="0"/>
          <w:kern w:val="2"/>
          <w:sz w:val="32"/>
          <w:szCs w:val="32"/>
        </w:rPr>
        <w:t>：指为保障机构正常运转、完成日常工作任务而发生的人员支出和公用支出。</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项目支出</w:t>
      </w:r>
      <w:r>
        <w:rPr>
          <w:rFonts w:hint="eastAsia" w:ascii="宋体" w:hAnsi="宋体" w:eastAsia="宋体" w:cs="宋体"/>
          <w:i w:val="0"/>
          <w:iCs w:val="0"/>
          <w:caps w:val="0"/>
          <w:color w:val="000000"/>
          <w:spacing w:val="0"/>
          <w:kern w:val="2"/>
          <w:sz w:val="32"/>
          <w:szCs w:val="32"/>
        </w:rPr>
        <w:t>：指在基本支出之外为完成特定行政任务和事业发展目标所发生的支出。</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经营支出</w:t>
      </w:r>
      <w:r>
        <w:rPr>
          <w:rFonts w:hint="eastAsia" w:ascii="宋体" w:hAnsi="宋体" w:eastAsia="宋体" w:cs="宋体"/>
          <w:i w:val="0"/>
          <w:iCs w:val="0"/>
          <w:caps w:val="0"/>
          <w:color w:val="000000"/>
          <w:spacing w:val="0"/>
          <w:kern w:val="2"/>
          <w:sz w:val="32"/>
          <w:szCs w:val="32"/>
        </w:rPr>
        <w:t>：指事业单位在专业业务活动及其辅助活动之外开展非独立核算经营活动所发生的支出。</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“三公”经费</w:t>
      </w:r>
      <w:r>
        <w:rPr>
          <w:rFonts w:hint="eastAsia" w:ascii="宋体" w:hAnsi="宋体" w:eastAsia="宋体" w:cs="宋体"/>
          <w:i w:val="0"/>
          <w:iCs w:val="0"/>
          <w:caps w:val="0"/>
          <w:color w:val="000000"/>
          <w:spacing w:val="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i w:val="0"/>
          <w:iCs w:val="0"/>
          <w:caps w:val="0"/>
          <w:color w:val="000000"/>
          <w:spacing w:val="0"/>
          <w:kern w:val="2"/>
          <w:sz w:val="32"/>
          <w:szCs w:val="32"/>
        </w:rPr>
        <w:t>机关运行经费</w:t>
      </w:r>
      <w:r>
        <w:rPr>
          <w:rFonts w:hint="eastAsia" w:ascii="宋体" w:hAnsi="宋体" w:eastAsia="宋体" w:cs="宋体"/>
          <w:i w:val="0"/>
          <w:iCs w:val="0"/>
          <w:caps w:val="0"/>
          <w:color w:val="000000"/>
          <w:spacing w:val="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i w:val="0"/>
          <w:iCs w:val="0"/>
          <w:caps w:val="0"/>
          <w:color w:val="000000"/>
          <w:spacing w:val="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宋体" w:hAnsi="宋体" w:eastAsia="宋体" w:cs="宋体"/>
          <w:b/>
          <w:bCs/>
          <w:i w:val="0"/>
          <w:iCs w:val="0"/>
          <w:caps w:val="0"/>
          <w:color w:val="000000"/>
          <w:spacing w:val="0"/>
          <w:kern w:val="2"/>
          <w:sz w:val="36"/>
          <w:szCs w:val="36"/>
        </w:rPr>
        <w:t>第五部分 附件</w:t>
      </w:r>
      <w:r>
        <w:rPr>
          <w:rFonts w:hint="eastAsia" w:ascii="等线" w:hAnsi="等线" w:eastAsia="等线" w:cs="Times New Roman"/>
          <w:i w:val="0"/>
          <w:iCs w:val="0"/>
          <w:caps w:val="0"/>
          <w:color w:val="000000"/>
          <w:spacing w:val="0"/>
          <w:kern w:val="2"/>
          <w:sz w:val="21"/>
          <w:szCs w:val="21"/>
        </w:rPr>
        <w:t xml:space="preserve"> </w:t>
      </w:r>
    </w:p>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ZmI2YzY2ODM3ZDU4YjVlZjY4ODgyNjgxYTUzN2EifQ=="/>
  </w:docVars>
  <w:rsids>
    <w:rsidRoot w:val="00000000"/>
    <w:rsid w:val="0C760F26"/>
    <w:rsid w:val="74A83D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
    <w:name w:val="10"/>
    <w:basedOn w:val="11"/>
    <w:uiPriority w:val="0"/>
    <w:rPr>
      <w:rFonts w:hint="default" w:ascii="Times New Roman" w:hAnsi="Times New Roman" w:cs="Times New Roman"/>
    </w:rPr>
  </w:style>
  <w:style w:type="character" w:customStyle="1" w:styleId="13">
    <w:name w:val="15"/>
    <w:basedOn w:val="11"/>
    <w:uiPriority w:val="0"/>
    <w:rPr>
      <w:rFonts w:hint="default" w:ascii="Times New Roman" w:hAnsi="Times New Roman" w:cs="Times New Roman"/>
      <w:b/>
      <w:bCs/>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5">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6">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Lines>1</Lines>
  <Paragraphs>1</Paragraph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2023-09-28T05:39:05Z</dcterms:created>
  <dc:creator>Administrator</dc:creator>
  <cp:lastModifiedBy>Heneciakim </cp:lastModifiedBy>
  <dcterms:modified xsi:type="dcterms:W3CDTF">2023-09-28T05:40:01Z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C745DAA8058C4574B37E0B2F7A470A21_13</vt:lpwstr>
  </property>
</Properties>
</file>