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Fonts w:ascii="宋体" w:hAnsi="宋体" w:eastAsia="宋体" w:cs="宋体"/>
          <w:color w:val="000000"/>
          <w:sz w:val="44"/>
          <w:szCs w:val="44"/>
        </w:rPr>
        <w:t>株洲市渌口区交通运输局2021年部门决算公开说明</w:t>
      </w:r>
      <w:r>
        <w:rPr>
          <w:color w:val="000000"/>
        </w:rPr>
        <w:t xml:space="preserve"> </w:t>
      </w:r>
    </w:p>
    <w:p>
      <w:pPr>
        <w:spacing w:before="0" w:beforeAutospacing="0" w:after="2" w:afterAutospacing="0"/>
        <w:jc w:val="center"/>
        <w:rPr>
          <w:sz w:val="21"/>
          <w:szCs w:val="21"/>
        </w:rPr>
      </w:pPr>
      <w:r>
        <w:rPr>
          <w:color w:val="000000"/>
          <w:sz w:val="32"/>
          <w:szCs w:val="32"/>
        </w:rPr>
        <w:t> </w:t>
      </w:r>
      <w:r>
        <w:rPr>
          <w:color w:val="000000"/>
          <w:sz w:val="21"/>
          <w:szCs w:val="21"/>
        </w:rPr>
        <w:t xml:space="preserve"> </w:t>
      </w:r>
    </w:p>
    <w:p>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2" w:afterAutospacing="0"/>
        <w:jc w:val="center"/>
        <w:rPr>
          <w:sz w:val="21"/>
          <w:szCs w:val="21"/>
        </w:rPr>
      </w:pP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株洲市渌口区交通运输局概况</w:t>
      </w:r>
      <w:r>
        <w:rPr>
          <w:color w:val="000000"/>
          <w:sz w:val="27"/>
          <w:szCs w:val="27"/>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株洲市渌口区交通运输局概况</w:t>
      </w:r>
      <w:r>
        <w:rPr>
          <w:b/>
          <w:bCs/>
          <w:color w:val="000000"/>
          <w:sz w:val="21"/>
          <w:szCs w:val="21"/>
        </w:rPr>
        <w:t xml:space="preserve"> </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1、（一）贯彻执行国家、省、市有关交通运输管理的法律、法 规和方针、政策；承担涉及综合运输体系的规划协调工作，组织拟定全区综合运输体系规划；指导全区交通运输枢纽规划、管理 和交通运输有关体制改革工作。 （二）组织拟订全区交通运输发展规划和行业标准、规范并监督实施；参与拟订物流业发展规划和有关政策并监督实施；负责全区交通运输执法检查和监督。 （三）承担道路、水路运输市场监管责任。负责道路运输经营、水路运输及相关业务的管理;负责全区城乡客运及有关设施规划建设和管理工作，统一开发、利用和管理城区公共客运资源； 负责全县道路运输行业管理工作。 （四）承担水上交通安全监管责任。负责本级级管理水域水 上交通安全事故、船舶及相关水上设施污染事故的应急处置工作， 组织参与事故调查处理工作，指导全区水上交通安全监管工作。 （五）负责所辖县道的公路路政管理工作。负责规划、审批公路两侧规定范围内各种构造物和广告宣传等设施；参与对公路 两侧新建村镇、开发区等规划管理；负责公路、桥梁、渡口的行 业管理。 （六）承担全区公路市场监管责任。组织实施国家、省重点和大中型公路交通工程建设，监督管理公路交通建设工程质量、 — 5 — 造价、安全生产；指导交通运输基础设施管理和维护，负责有关 重要设施的管理和维护。 （七）指导全区公路、水路安全生产和应急管理工作。组织 协调全区重要物资和紧急客货运输；承担交通战备有关工作。 （八）负责有关行政复议受理和行政诉讼应诉工作。 （九）承办区人民政府交办的其他事项。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    株洲市渌口区交通运输局内设机构7个包括：</w:t>
      </w:r>
      <w:r>
        <w:rPr>
          <w:rFonts w:ascii="宋体" w:hAnsi="宋体" w:eastAsia="宋体" w:cs="宋体"/>
          <w:color w:val="000000"/>
          <w:sz w:val="32"/>
          <w:szCs w:val="32"/>
        </w:rPr>
        <w:t>办公室、人教股、财务审计股、交通基建股、质检股、法规股、安全股。本部门共有编制人数104人,实有人数104人。</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    </w:t>
      </w:r>
      <w:r>
        <w:rPr>
          <w:rFonts w:ascii="宋体" w:hAnsi="宋体" w:eastAsia="宋体" w:cs="宋体"/>
          <w:color w:val="000000"/>
          <w:sz w:val="32"/>
          <w:szCs w:val="32"/>
        </w:rPr>
        <w:t>株洲市渌口区交通运输局2021年部门决算汇总公开单位构成包括：株洲市渌口区交通运输局本级及株洲市渌口区交通运输综合行政执法大队、株洲市渌口区交通运输综合服务中心。</w:t>
      </w:r>
      <w:r>
        <w:rPr>
          <w:color w:val="000000"/>
          <w:sz w:val="27"/>
          <w:szCs w:val="27"/>
        </w:rPr>
        <w:t xml:space="preserve"> </w:t>
      </w:r>
    </w:p>
    <w:p>
      <w:pPr>
        <w:rPr>
          <w:color w:val="000000"/>
        </w:rPr>
        <w:sectPr>
          <w:pgSz w:w="11906" w:h="16838" w:orient="landscape"/>
          <w:pgMar w:top="1440" w:right="1080" w:bottom="1440" w:left="1080" w:header="851" w:footer="992" w:gutter="0"/>
          <w:paperSrc/>
          <w:cols w:space="0" w:num="1"/>
          <w:docGrid w:type="lines" w:linePitch="160" w:charSpace="0"/>
        </w:sectPr>
      </w:pPr>
    </w:p>
    <w:p>
      <w:pPr>
        <w:spacing w:before="0" w:beforeAutospacing="0" w:after="2" w:afterAutospacing="0"/>
        <w:ind w:left="0" w:firstLine="721"/>
        <w:jc w:val="center"/>
        <w:rPr>
          <w:sz w:val="21"/>
          <w:szCs w:val="21"/>
        </w:r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9"/>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6"/>
            <w:shd w:val="clear"/>
            <w:vAlign w:val="center"/>
          </w:tcPr>
          <w:p>
            <w:pPr>
              <w:pStyle w:val="9"/>
              <w:keepNext w:val="0"/>
              <w:keepLines w:val="0"/>
              <w:widowControl/>
              <w:suppressLineNumbers w:val="0"/>
              <w:jc w:val="center"/>
            </w:pPr>
            <w:r>
              <w:rPr>
                <w:b w:val="0"/>
                <w:bCs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shd w:val="clear"/>
            <w:vAlign w:val="center"/>
          </w:tcPr>
          <w:p>
            <w:pPr>
              <w:pStyle w:val="9"/>
              <w:keepNext w:val="0"/>
              <w:keepLines w:val="0"/>
              <w:widowControl/>
              <w:suppressLineNumbers w:val="0"/>
            </w:pPr>
          </w:p>
        </w:tc>
        <w:tc>
          <w:tcPr>
            <w:tcW w:w="202" w:type="pct"/>
            <w:shd w:val="clear"/>
            <w:vAlign w:val="center"/>
          </w:tcPr>
          <w:p>
            <w:pPr>
              <w:pStyle w:val="9"/>
              <w:keepNext w:val="0"/>
              <w:keepLines w:val="0"/>
              <w:widowControl/>
              <w:suppressLineNumbers w:val="0"/>
            </w:pPr>
          </w:p>
        </w:tc>
        <w:tc>
          <w:tcPr>
            <w:tcW w:w="799" w:type="pct"/>
            <w:shd w:val="clear"/>
            <w:vAlign w:val="center"/>
          </w:tcPr>
          <w:p>
            <w:pPr>
              <w:pStyle w:val="9"/>
              <w:keepNext w:val="0"/>
              <w:keepLines w:val="0"/>
              <w:widowControl/>
              <w:suppressLineNumbers w:val="0"/>
            </w:pPr>
          </w:p>
        </w:tc>
        <w:tc>
          <w:tcPr>
            <w:tcW w:w="1497" w:type="pct"/>
            <w:shd w:val="clear"/>
            <w:vAlign w:val="center"/>
          </w:tcPr>
          <w:p>
            <w:pPr>
              <w:pStyle w:val="9"/>
              <w:keepNext w:val="0"/>
              <w:keepLines w:val="0"/>
              <w:widowControl/>
              <w:suppressLineNumbers w:val="0"/>
            </w:pPr>
          </w:p>
        </w:tc>
        <w:tc>
          <w:tcPr>
            <w:tcW w:w="1002" w:type="pct"/>
            <w:gridSpan w:val="2"/>
            <w:shd w:val="clear"/>
            <w:vAlign w:val="center"/>
          </w:tcPr>
          <w:p>
            <w:pPr>
              <w:pStyle w:val="9"/>
              <w:keepNext w:val="0"/>
              <w:keepLines w:val="0"/>
              <w:widowControl/>
              <w:suppressLineNumbers w:val="0"/>
              <w:jc w:val="right"/>
            </w:pPr>
            <w:r>
              <w:rPr>
                <w:b w:val="0"/>
                <w:bCs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97" w:type="pct"/>
            <w:gridSpan w:val="4"/>
            <w:shd w:val="clear"/>
            <w:vAlign w:val="center"/>
          </w:tcPr>
          <w:p>
            <w:pPr>
              <w:pStyle w:val="9"/>
              <w:keepNext w:val="0"/>
              <w:keepLines w:val="0"/>
              <w:widowControl/>
              <w:suppressLineNumbers w:val="0"/>
              <w:jc w:val="left"/>
            </w:pPr>
            <w:r>
              <w:rPr>
                <w:b w:val="0"/>
                <w:bCs w:val="0"/>
                <w:sz w:val="22"/>
                <w:szCs w:val="22"/>
              </w:rPr>
              <w:t>部门：株洲市渌口区交通运输局</w:t>
            </w:r>
          </w:p>
        </w:tc>
        <w:tc>
          <w:tcPr>
            <w:tcW w:w="1002"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10,942.85</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10,585.66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vAlign w:val="center"/>
          </w:tcPr>
          <w:p>
            <w:pPr>
              <w:pStyle w:val="9"/>
              <w:keepNext w:val="0"/>
              <w:keepLines w:val="0"/>
              <w:widowControl/>
              <w:suppressLineNumbers w:val="0"/>
              <w:jc w:val="left"/>
            </w:pPr>
            <w:r>
              <w:rPr>
                <w:b w:val="0"/>
                <w:bCs w:val="0"/>
                <w:sz w:val="22"/>
                <w:szCs w:val="22"/>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5000" w:type="pct"/>
            <w:gridSpan w:val="11"/>
            <w:shd w:val="clear"/>
            <w:vAlign w:val="center"/>
          </w:tcPr>
          <w:p>
            <w:pPr>
              <w:pStyle w:val="9"/>
              <w:keepNext w:val="0"/>
              <w:keepLines w:val="0"/>
              <w:widowControl/>
              <w:suppressLineNumbers w:val="0"/>
              <w:jc w:val="center"/>
            </w:pPr>
            <w:r>
              <w:rPr>
                <w:b w:val="0"/>
                <w:bCs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3" w:type="pct"/>
            <w:shd w:val="clear"/>
            <w:vAlign w:val="center"/>
          </w:tcPr>
          <w:p>
            <w:pPr>
              <w:pStyle w:val="9"/>
              <w:keepNext w:val="0"/>
              <w:keepLines w:val="0"/>
              <w:widowControl/>
              <w:suppressLineNumbers w:val="0"/>
            </w:pPr>
          </w:p>
        </w:tc>
        <w:tc>
          <w:tcPr>
            <w:tcW w:w="113" w:type="pct"/>
            <w:shd w:val="clear"/>
            <w:vAlign w:val="center"/>
          </w:tcPr>
          <w:p>
            <w:pPr>
              <w:pStyle w:val="9"/>
              <w:keepNext w:val="0"/>
              <w:keepLines w:val="0"/>
              <w:widowControl/>
              <w:suppressLineNumbers w:val="0"/>
            </w:pPr>
          </w:p>
        </w:tc>
        <w:tc>
          <w:tcPr>
            <w:tcW w:w="113" w:type="pct"/>
            <w:shd w:val="clear"/>
            <w:vAlign w:val="center"/>
          </w:tcPr>
          <w:p>
            <w:pPr>
              <w:pStyle w:val="9"/>
              <w:keepNext w:val="0"/>
              <w:keepLines w:val="0"/>
              <w:widowControl/>
              <w:suppressLineNumbers w:val="0"/>
            </w:pPr>
          </w:p>
        </w:tc>
        <w:tc>
          <w:tcPr>
            <w:tcW w:w="995" w:type="pct"/>
            <w:shd w:val="clear"/>
            <w:vAlign w:val="center"/>
          </w:tcPr>
          <w:p>
            <w:pPr>
              <w:pStyle w:val="9"/>
              <w:keepNext w:val="0"/>
              <w:keepLines w:val="0"/>
              <w:widowControl/>
              <w:suppressLineNumbers w:val="0"/>
            </w:pPr>
          </w:p>
        </w:tc>
        <w:tc>
          <w:tcPr>
            <w:tcW w:w="678" w:type="pct"/>
            <w:shd w:val="clear"/>
            <w:vAlign w:val="center"/>
          </w:tcPr>
          <w:p>
            <w:pPr>
              <w:pStyle w:val="9"/>
              <w:keepNext w:val="0"/>
              <w:keepLines w:val="0"/>
              <w:widowControl/>
              <w:suppressLineNumbers w:val="0"/>
            </w:pPr>
          </w:p>
        </w:tc>
        <w:tc>
          <w:tcPr>
            <w:tcW w:w="497" w:type="pct"/>
            <w:shd w:val="clear"/>
            <w:vAlign w:val="center"/>
          </w:tcPr>
          <w:p>
            <w:pPr>
              <w:pStyle w:val="9"/>
              <w:keepNext w:val="0"/>
              <w:keepLines w:val="0"/>
              <w:widowControl/>
              <w:suppressLineNumbers w:val="0"/>
            </w:pPr>
          </w:p>
        </w:tc>
        <w:tc>
          <w:tcPr>
            <w:tcW w:w="497" w:type="pct"/>
            <w:shd w:val="clear"/>
            <w:vAlign w:val="center"/>
          </w:tcPr>
          <w:p>
            <w:pPr>
              <w:pStyle w:val="9"/>
              <w:keepNext w:val="0"/>
              <w:keepLines w:val="0"/>
              <w:widowControl/>
              <w:suppressLineNumbers w:val="0"/>
            </w:pPr>
          </w:p>
        </w:tc>
        <w:tc>
          <w:tcPr>
            <w:tcW w:w="497" w:type="pct"/>
            <w:shd w:val="clear"/>
            <w:vAlign w:val="center"/>
          </w:tcPr>
          <w:p>
            <w:pPr>
              <w:pStyle w:val="9"/>
              <w:keepNext w:val="0"/>
              <w:keepLines w:val="0"/>
              <w:widowControl/>
              <w:suppressLineNumbers w:val="0"/>
            </w:pPr>
          </w:p>
        </w:tc>
        <w:tc>
          <w:tcPr>
            <w:tcW w:w="497" w:type="pct"/>
            <w:shd w:val="clear"/>
            <w:vAlign w:val="center"/>
          </w:tcPr>
          <w:p>
            <w:pPr>
              <w:pStyle w:val="9"/>
              <w:keepNext w:val="0"/>
              <w:keepLines w:val="0"/>
              <w:widowControl/>
              <w:suppressLineNumbers w:val="0"/>
            </w:pPr>
          </w:p>
        </w:tc>
        <w:tc>
          <w:tcPr>
            <w:tcW w:w="995" w:type="pct"/>
            <w:gridSpan w:val="2"/>
            <w:shd w:val="clear"/>
            <w:vAlign w:val="center"/>
          </w:tcPr>
          <w:p>
            <w:pPr>
              <w:pStyle w:val="9"/>
              <w:keepNext w:val="0"/>
              <w:keepLines w:val="0"/>
              <w:widowControl/>
              <w:suppressLineNumbers w:val="0"/>
              <w:jc w:val="right"/>
            </w:pPr>
            <w:r>
              <w:rPr>
                <w:b w:val="0"/>
                <w:bCs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04" w:type="pct"/>
            <w:gridSpan w:val="9"/>
            <w:shd w:val="clear"/>
            <w:vAlign w:val="center"/>
          </w:tcPr>
          <w:p>
            <w:pPr>
              <w:pStyle w:val="9"/>
              <w:keepNext w:val="0"/>
              <w:keepLines w:val="0"/>
              <w:widowControl/>
              <w:suppressLineNumbers w:val="0"/>
              <w:jc w:val="left"/>
            </w:pPr>
            <w:r>
              <w:rPr>
                <w:b w:val="0"/>
                <w:bCs w:val="0"/>
                <w:sz w:val="22"/>
                <w:szCs w:val="22"/>
              </w:rPr>
              <w:t>部门：株洲市渌口区交通运输局</w:t>
            </w:r>
          </w:p>
        </w:tc>
        <w:tc>
          <w:tcPr>
            <w:tcW w:w="995"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一般公共服务支出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20106</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财政事务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2010602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节能环保支出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21110</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能源节约利用</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2111001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能源节约利用</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城乡社区支出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城乡社区管理事务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2120199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其他城乡社区管理事务支出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21208</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国有土地使用权出让收入安排的支出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2120899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其他国有土地使用权出让收入安排的支出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交通运输支出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10,585.66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10,585.66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公路水路运输</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10,200.68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10,200.68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2140104</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公路建设</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6,797.25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6,797.25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2140106</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公路养护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2140112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公路运输管理</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114.03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114.03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2140131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海事管理</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6.96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6.96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2140136</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水路运输管理支出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60.41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60.41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其他公路水路运输支出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1,778.80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1,778.80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成品油价格改革对交通运输的补贴</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340.48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340.48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对城市公交的补贴</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对农村道路客运的补贴</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189.29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189.29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2140403</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对出租车的补贴</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51.27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51.27</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成品油价格改革补贴其他支出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其他交通运输支出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2149999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其他交通运输支出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215</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资源勘探工业信息等支出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21501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资源勘探开发</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2150199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其他资源勘探业支出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住房保障支出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住房改革支出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11"/>
            <w:shd w:val="clear"/>
            <w:vAlign w:val="center"/>
          </w:tcPr>
          <w:p>
            <w:pPr>
              <w:pStyle w:val="9"/>
              <w:keepNext w:val="0"/>
              <w:keepLines w:val="0"/>
              <w:widowControl/>
              <w:suppressLineNumbers w:val="0"/>
              <w:jc w:val="left"/>
            </w:pPr>
            <w:r>
              <w:rPr>
                <w:b w:val="0"/>
                <w:bCs w:val="0"/>
                <w:sz w:val="22"/>
                <w:szCs w:val="22"/>
              </w:rPr>
              <w:t>注：本表反映部门本年度取得的各项收入情况。本表金额转换为万元时，因四舍五入可能存在尾数误差。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center"/>
            </w:pPr>
            <w:r>
              <w:rPr>
                <w:b w:val="0"/>
                <w:bCs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5" w:type="pct"/>
            <w:shd w:val="clear"/>
            <w:vAlign w:val="center"/>
          </w:tcPr>
          <w:p>
            <w:pPr>
              <w:pStyle w:val="9"/>
              <w:keepNext w:val="0"/>
              <w:keepLines w:val="0"/>
              <w:widowControl/>
              <w:suppressLineNumbers w:val="0"/>
            </w:pPr>
          </w:p>
        </w:tc>
        <w:tc>
          <w:tcPr>
            <w:tcW w:w="125" w:type="pct"/>
            <w:shd w:val="clear"/>
            <w:vAlign w:val="center"/>
          </w:tcPr>
          <w:p>
            <w:pPr>
              <w:pStyle w:val="9"/>
              <w:keepNext w:val="0"/>
              <w:keepLines w:val="0"/>
              <w:widowControl/>
              <w:suppressLineNumbers w:val="0"/>
            </w:pPr>
          </w:p>
        </w:tc>
        <w:tc>
          <w:tcPr>
            <w:tcW w:w="125" w:type="pct"/>
            <w:shd w:val="clear"/>
            <w:vAlign w:val="center"/>
          </w:tcPr>
          <w:p>
            <w:pPr>
              <w:pStyle w:val="9"/>
              <w:keepNext w:val="0"/>
              <w:keepLines w:val="0"/>
              <w:widowControl/>
              <w:suppressLineNumbers w:val="0"/>
            </w:pPr>
          </w:p>
        </w:tc>
        <w:tc>
          <w:tcPr>
            <w:tcW w:w="1105" w:type="pct"/>
            <w:shd w:val="clear"/>
            <w:vAlign w:val="center"/>
          </w:tcPr>
          <w:p>
            <w:pPr>
              <w:pStyle w:val="9"/>
              <w:keepNext w:val="0"/>
              <w:keepLines w:val="0"/>
              <w:widowControl/>
              <w:suppressLineNumbers w:val="0"/>
            </w:pPr>
          </w:p>
        </w:tc>
        <w:tc>
          <w:tcPr>
            <w:tcW w:w="753" w:type="pct"/>
            <w:shd w:val="clear"/>
            <w:vAlign w:val="center"/>
          </w:tcPr>
          <w:p>
            <w:pPr>
              <w:pStyle w:val="9"/>
              <w:keepNext w:val="0"/>
              <w:keepLines w:val="0"/>
              <w:widowControl/>
              <w:suppressLineNumbers w:val="0"/>
            </w:pPr>
          </w:p>
        </w:tc>
        <w:tc>
          <w:tcPr>
            <w:tcW w:w="552" w:type="pct"/>
            <w:shd w:val="clear"/>
            <w:vAlign w:val="center"/>
          </w:tcPr>
          <w:p>
            <w:pPr>
              <w:pStyle w:val="9"/>
              <w:keepNext w:val="0"/>
              <w:keepLines w:val="0"/>
              <w:widowControl/>
              <w:suppressLineNumbers w:val="0"/>
            </w:pPr>
          </w:p>
        </w:tc>
        <w:tc>
          <w:tcPr>
            <w:tcW w:w="552" w:type="pct"/>
            <w:shd w:val="clear"/>
            <w:vAlign w:val="center"/>
          </w:tcPr>
          <w:p>
            <w:pPr>
              <w:pStyle w:val="9"/>
              <w:keepNext w:val="0"/>
              <w:keepLines w:val="0"/>
              <w:widowControl/>
              <w:suppressLineNumbers w:val="0"/>
            </w:pPr>
          </w:p>
        </w:tc>
        <w:tc>
          <w:tcPr>
            <w:tcW w:w="552" w:type="pct"/>
            <w:shd w:val="clear"/>
            <w:vAlign w:val="center"/>
          </w:tcPr>
          <w:p>
            <w:pPr>
              <w:pStyle w:val="9"/>
              <w:keepNext w:val="0"/>
              <w:keepLines w:val="0"/>
              <w:widowControl/>
              <w:suppressLineNumbers w:val="0"/>
            </w:pPr>
          </w:p>
        </w:tc>
        <w:tc>
          <w:tcPr>
            <w:tcW w:w="1105" w:type="pct"/>
            <w:gridSpan w:val="2"/>
            <w:shd w:val="clear"/>
            <w:vAlign w:val="center"/>
          </w:tcPr>
          <w:p>
            <w:pPr>
              <w:pStyle w:val="9"/>
              <w:keepNext w:val="0"/>
              <w:keepLines w:val="0"/>
              <w:widowControl/>
              <w:suppressLineNumbers w:val="0"/>
              <w:jc w:val="right"/>
            </w:pPr>
            <w:r>
              <w:rPr>
                <w:b w:val="0"/>
                <w:bCs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94" w:type="pct"/>
            <w:gridSpan w:val="8"/>
            <w:shd w:val="clear"/>
            <w:vAlign w:val="center"/>
          </w:tcPr>
          <w:p>
            <w:pPr>
              <w:pStyle w:val="9"/>
              <w:keepNext w:val="0"/>
              <w:keepLines w:val="0"/>
              <w:widowControl/>
              <w:suppressLineNumbers w:val="0"/>
              <w:jc w:val="left"/>
            </w:pPr>
            <w:r>
              <w:rPr>
                <w:b w:val="0"/>
                <w:bCs w:val="0"/>
                <w:sz w:val="22"/>
                <w:szCs w:val="22"/>
              </w:rPr>
              <w:t>部门：株洲市渌口区交通运输局</w:t>
            </w:r>
          </w:p>
        </w:tc>
        <w:tc>
          <w:tcPr>
            <w:tcW w:w="1105"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1,331.93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10,210.92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一般公共服务支出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20106</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财政事务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2010602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节能环保支出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21110</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能源节约利用</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2111001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能源节约利用</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城乡社区支出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城乡社区管理事务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2120199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其他城乡社区管理事务支出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21208</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国有土地使用权出让收入安排的支出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2120899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其他国有土地使用权出让收入安排的支出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交通运输支出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10,585.66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9,342.42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公路水路运输</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10,200.68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8,957.44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公路建设</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6,797.25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6,797.25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2140106</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公路养护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2140112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公路运输管理</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114.03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114.03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2140131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海事管理</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6.96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6.96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2140136</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水路运输管理支出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60.41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60.41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其他公路水路运输支出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1,778.80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1,778.80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成品油价格改革对交通运输的补贴</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340.48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340.48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对城市公交的补贴</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对农村道路客运的补贴</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189.29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189.29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2140403</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对出租车的补贴</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51.27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51.27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成品油价格改革补贴其他支出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其他交通运输支出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2149999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其他交通运输支出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资源勘探工业信息等支出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21501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资源勘探开发</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2150199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其他资源勘探业支出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住房保障支出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住房改革支出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left"/>
            </w:pPr>
            <w:r>
              <w:rPr>
                <w:b w:val="0"/>
                <w:bCs w:val="0"/>
                <w:sz w:val="22"/>
                <w:szCs w:val="22"/>
              </w:rPr>
              <w:t>注：本表反映部门本年度各项支出情况。本表金额转换为万元时，因四舍五入可能存在尾数误差。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center"/>
            </w:pPr>
            <w:r>
              <w:rPr>
                <w:b w:val="0"/>
                <w:bCs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shd w:val="clear"/>
            <w:vAlign w:val="center"/>
          </w:tcPr>
          <w:p>
            <w:pPr>
              <w:pStyle w:val="9"/>
              <w:keepNext w:val="0"/>
              <w:keepLines w:val="0"/>
              <w:widowControl/>
              <w:suppressLineNumbers w:val="0"/>
            </w:pPr>
          </w:p>
        </w:tc>
        <w:tc>
          <w:tcPr>
            <w:tcW w:w="165" w:type="pct"/>
            <w:shd w:val="clear"/>
            <w:vAlign w:val="center"/>
          </w:tcPr>
          <w:p>
            <w:pPr>
              <w:pStyle w:val="9"/>
              <w:keepNext w:val="0"/>
              <w:keepLines w:val="0"/>
              <w:widowControl/>
              <w:suppressLineNumbers w:val="0"/>
            </w:pPr>
          </w:p>
        </w:tc>
        <w:tc>
          <w:tcPr>
            <w:tcW w:w="486" w:type="pct"/>
            <w:shd w:val="clear"/>
            <w:vAlign w:val="center"/>
          </w:tcPr>
          <w:p>
            <w:pPr>
              <w:pStyle w:val="9"/>
              <w:keepNext w:val="0"/>
              <w:keepLines w:val="0"/>
              <w:widowControl/>
              <w:suppressLineNumbers w:val="0"/>
            </w:pPr>
          </w:p>
        </w:tc>
        <w:tc>
          <w:tcPr>
            <w:tcW w:w="1151" w:type="pct"/>
            <w:shd w:val="clear"/>
            <w:vAlign w:val="center"/>
          </w:tcPr>
          <w:p>
            <w:pPr>
              <w:pStyle w:val="9"/>
              <w:keepNext w:val="0"/>
              <w:keepLines w:val="0"/>
              <w:widowControl/>
              <w:suppressLineNumbers w:val="0"/>
            </w:pPr>
          </w:p>
        </w:tc>
        <w:tc>
          <w:tcPr>
            <w:tcW w:w="165" w:type="pct"/>
            <w:shd w:val="clear"/>
            <w:vAlign w:val="center"/>
          </w:tcPr>
          <w:p>
            <w:pPr>
              <w:pStyle w:val="9"/>
              <w:keepNext w:val="0"/>
              <w:keepLines w:val="0"/>
              <w:widowControl/>
              <w:suppressLineNumbers w:val="0"/>
            </w:pPr>
          </w:p>
        </w:tc>
        <w:tc>
          <w:tcPr>
            <w:tcW w:w="664" w:type="pct"/>
            <w:shd w:val="clear"/>
            <w:vAlign w:val="center"/>
          </w:tcPr>
          <w:p>
            <w:pPr>
              <w:pStyle w:val="9"/>
              <w:keepNext w:val="0"/>
              <w:keepLines w:val="0"/>
              <w:widowControl/>
              <w:suppressLineNumbers w:val="0"/>
            </w:pPr>
          </w:p>
        </w:tc>
        <w:tc>
          <w:tcPr>
            <w:tcW w:w="456" w:type="pct"/>
            <w:shd w:val="clear"/>
            <w:vAlign w:val="center"/>
          </w:tcPr>
          <w:p>
            <w:pPr>
              <w:pStyle w:val="9"/>
              <w:keepNext w:val="0"/>
              <w:keepLines w:val="0"/>
              <w:widowControl/>
              <w:suppressLineNumbers w:val="0"/>
            </w:pPr>
          </w:p>
        </w:tc>
        <w:tc>
          <w:tcPr>
            <w:tcW w:w="912" w:type="pct"/>
            <w:gridSpan w:val="2"/>
            <w:shd w:val="clear"/>
            <w:vAlign w:val="center"/>
          </w:tcPr>
          <w:p>
            <w:pPr>
              <w:pStyle w:val="9"/>
              <w:keepNext w:val="0"/>
              <w:keepLines w:val="0"/>
              <w:widowControl/>
              <w:suppressLineNumbers w:val="0"/>
              <w:jc w:val="right"/>
            </w:pPr>
            <w:r>
              <w:rPr>
                <w:b w:val="0"/>
                <w:bCs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087" w:type="pct"/>
            <w:gridSpan w:val="7"/>
            <w:shd w:val="clear"/>
            <w:vAlign w:val="center"/>
          </w:tcPr>
          <w:p>
            <w:pPr>
              <w:pStyle w:val="9"/>
              <w:keepNext w:val="0"/>
              <w:keepLines w:val="0"/>
              <w:widowControl/>
              <w:suppressLineNumbers w:val="0"/>
              <w:jc w:val="left"/>
            </w:pPr>
            <w:r>
              <w:rPr>
                <w:b w:val="0"/>
                <w:bCs w:val="0"/>
                <w:sz w:val="22"/>
                <w:szCs w:val="22"/>
              </w:rPr>
              <w:t>部门：株洲市渌口区交通运输局</w:t>
            </w:r>
          </w:p>
        </w:tc>
        <w:tc>
          <w:tcPr>
            <w:tcW w:w="912"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10,942.85</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670.00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10,585.66</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10,585.66</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10,942.85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600.00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11,542.85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10,942.85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600.00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left"/>
            </w:pPr>
            <w:r>
              <w:rPr>
                <w:b w:val="0"/>
                <w:bCs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center"/>
            </w:pPr>
            <w:r>
              <w:rPr>
                <w:b w:val="0"/>
                <w:bCs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1" w:type="pct"/>
            <w:shd w:val="clear"/>
            <w:vAlign w:val="center"/>
          </w:tcPr>
          <w:p>
            <w:pPr>
              <w:pStyle w:val="9"/>
              <w:keepNext w:val="0"/>
              <w:keepLines w:val="0"/>
              <w:widowControl/>
              <w:suppressLineNumbers w:val="0"/>
            </w:pPr>
          </w:p>
        </w:tc>
        <w:tc>
          <w:tcPr>
            <w:tcW w:w="141" w:type="pct"/>
            <w:shd w:val="clear"/>
            <w:vAlign w:val="center"/>
          </w:tcPr>
          <w:p>
            <w:pPr>
              <w:pStyle w:val="9"/>
              <w:keepNext w:val="0"/>
              <w:keepLines w:val="0"/>
              <w:widowControl/>
              <w:suppressLineNumbers w:val="0"/>
            </w:pPr>
          </w:p>
        </w:tc>
        <w:tc>
          <w:tcPr>
            <w:tcW w:w="141" w:type="pct"/>
            <w:shd w:val="clear"/>
            <w:vAlign w:val="center"/>
          </w:tcPr>
          <w:p>
            <w:pPr>
              <w:pStyle w:val="9"/>
              <w:keepNext w:val="0"/>
              <w:keepLines w:val="0"/>
              <w:widowControl/>
              <w:suppressLineNumbers w:val="0"/>
            </w:pPr>
          </w:p>
        </w:tc>
        <w:tc>
          <w:tcPr>
            <w:tcW w:w="1683" w:type="pct"/>
            <w:shd w:val="clear"/>
            <w:vAlign w:val="center"/>
          </w:tcPr>
          <w:p>
            <w:pPr>
              <w:pStyle w:val="9"/>
              <w:keepNext w:val="0"/>
              <w:keepLines w:val="0"/>
              <w:widowControl/>
              <w:suppressLineNumbers w:val="0"/>
            </w:pPr>
          </w:p>
        </w:tc>
        <w:tc>
          <w:tcPr>
            <w:tcW w:w="964" w:type="pct"/>
            <w:shd w:val="clear"/>
            <w:vAlign w:val="center"/>
          </w:tcPr>
          <w:p>
            <w:pPr>
              <w:pStyle w:val="9"/>
              <w:keepNext w:val="0"/>
              <w:keepLines w:val="0"/>
              <w:widowControl/>
              <w:suppressLineNumbers w:val="0"/>
            </w:pPr>
          </w:p>
        </w:tc>
        <w:tc>
          <w:tcPr>
            <w:tcW w:w="1928" w:type="pct"/>
            <w:gridSpan w:val="2"/>
            <w:shd w:val="clear"/>
            <w:vAlign w:val="center"/>
          </w:tcPr>
          <w:p>
            <w:pPr>
              <w:pStyle w:val="9"/>
              <w:keepNext w:val="0"/>
              <w:keepLines w:val="0"/>
              <w:widowControl/>
              <w:suppressLineNumbers w:val="0"/>
              <w:jc w:val="right"/>
            </w:pPr>
            <w:r>
              <w:rPr>
                <w:b w:val="0"/>
                <w:bCs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071" w:type="pct"/>
            <w:gridSpan w:val="5"/>
            <w:shd w:val="clear"/>
            <w:vAlign w:val="center"/>
          </w:tcPr>
          <w:p>
            <w:pPr>
              <w:pStyle w:val="9"/>
              <w:keepNext w:val="0"/>
              <w:keepLines w:val="0"/>
              <w:widowControl/>
              <w:suppressLineNumbers w:val="0"/>
              <w:jc w:val="left"/>
            </w:pPr>
            <w:r>
              <w:rPr>
                <w:b w:val="0"/>
                <w:bCs w:val="0"/>
                <w:sz w:val="22"/>
                <w:szCs w:val="22"/>
              </w:rPr>
              <w:t>部门：株洲市渌口区交通运输局</w:t>
            </w:r>
          </w:p>
        </w:tc>
        <w:tc>
          <w:tcPr>
            <w:tcW w:w="1928"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10,942.85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1,331.93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9,610.92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一般公共服务支出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20106</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财政事务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2010602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节能环保支出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21110</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能源节约利用</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2111001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能源节约利用</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城乡社区支出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城乡社区管理事务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2120199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其他城乡社区管理事务支出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交通运输支出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10,585.66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9,342.42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公路水路运输</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10,200.68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8,957.44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1,243.24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2140104</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公路建设</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6,797.25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6,797.25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2140106</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公路养护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2140112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公路运输管理</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114.03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2140131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海事管理</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6.96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2140136</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水路运输管理支出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60.41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2140199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其他公路水路运输支出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1,778.80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1,778.80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成品油价格改革对交通运输的补贴</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340.48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340.48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对城市公交的补贴</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对农村道路客运的补贴</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189.29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2140403</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对出租车的补贴</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51.27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2140499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成品油价格改革补贴其他支出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其他交通运输支出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2149999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其他交通运输支出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215</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资源勘探工业信息等支出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21501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资源勘探开发</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2150199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其他资源勘探业支出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住房保障支出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住房改革支出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left"/>
            </w:pPr>
            <w:r>
              <w:rPr>
                <w:b w:val="0"/>
                <w:bCs w:val="0"/>
                <w:sz w:val="22"/>
                <w:szCs w:val="22"/>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center"/>
            </w:pPr>
            <w:r>
              <w:rPr>
                <w:b w:val="0"/>
                <w:bCs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shd w:val="clear"/>
            <w:vAlign w:val="center"/>
          </w:tcPr>
          <w:p>
            <w:pPr>
              <w:pStyle w:val="9"/>
              <w:keepNext w:val="0"/>
              <w:keepLines w:val="0"/>
              <w:widowControl/>
              <w:suppressLineNumbers w:val="0"/>
            </w:pPr>
          </w:p>
        </w:tc>
        <w:tc>
          <w:tcPr>
            <w:tcW w:w="1053" w:type="pct"/>
            <w:shd w:val="clear"/>
            <w:vAlign w:val="center"/>
          </w:tcPr>
          <w:p>
            <w:pPr>
              <w:pStyle w:val="9"/>
              <w:keepNext w:val="0"/>
              <w:keepLines w:val="0"/>
              <w:widowControl/>
              <w:suppressLineNumbers w:val="0"/>
            </w:pPr>
          </w:p>
        </w:tc>
        <w:tc>
          <w:tcPr>
            <w:tcW w:w="538" w:type="pct"/>
            <w:shd w:val="clear"/>
            <w:vAlign w:val="center"/>
          </w:tcPr>
          <w:p>
            <w:pPr>
              <w:pStyle w:val="9"/>
              <w:keepNext w:val="0"/>
              <w:keepLines w:val="0"/>
              <w:widowControl/>
              <w:suppressLineNumbers w:val="0"/>
            </w:pPr>
          </w:p>
        </w:tc>
        <w:tc>
          <w:tcPr>
            <w:tcW w:w="224" w:type="pct"/>
            <w:shd w:val="clear"/>
            <w:vAlign w:val="center"/>
          </w:tcPr>
          <w:p>
            <w:pPr>
              <w:pStyle w:val="9"/>
              <w:keepNext w:val="0"/>
              <w:keepLines w:val="0"/>
              <w:widowControl/>
              <w:suppressLineNumbers w:val="0"/>
            </w:pPr>
          </w:p>
        </w:tc>
        <w:tc>
          <w:tcPr>
            <w:tcW w:w="829" w:type="pct"/>
            <w:shd w:val="clear"/>
            <w:vAlign w:val="center"/>
          </w:tcPr>
          <w:p>
            <w:pPr>
              <w:pStyle w:val="9"/>
              <w:keepNext w:val="0"/>
              <w:keepLines w:val="0"/>
              <w:widowControl/>
              <w:suppressLineNumbers w:val="0"/>
            </w:pPr>
          </w:p>
        </w:tc>
        <w:tc>
          <w:tcPr>
            <w:tcW w:w="538" w:type="pct"/>
            <w:shd w:val="clear"/>
            <w:vAlign w:val="center"/>
          </w:tcPr>
          <w:p>
            <w:pPr>
              <w:pStyle w:val="9"/>
              <w:keepNext w:val="0"/>
              <w:keepLines w:val="0"/>
              <w:widowControl/>
              <w:suppressLineNumbers w:val="0"/>
            </w:pPr>
          </w:p>
        </w:tc>
        <w:tc>
          <w:tcPr>
            <w:tcW w:w="224" w:type="pct"/>
            <w:shd w:val="clear"/>
            <w:vAlign w:val="center"/>
          </w:tcPr>
          <w:p>
            <w:pPr>
              <w:pStyle w:val="9"/>
              <w:keepNext w:val="0"/>
              <w:keepLines w:val="0"/>
              <w:widowControl/>
              <w:suppressLineNumbers w:val="0"/>
            </w:pPr>
          </w:p>
        </w:tc>
        <w:tc>
          <w:tcPr>
            <w:tcW w:w="1367" w:type="pct"/>
            <w:gridSpan w:val="2"/>
            <w:shd w:val="clear"/>
            <w:vAlign w:val="center"/>
          </w:tcPr>
          <w:p>
            <w:pPr>
              <w:pStyle w:val="9"/>
              <w:keepNext w:val="0"/>
              <w:keepLines w:val="0"/>
              <w:widowControl/>
              <w:suppressLineNumbers w:val="0"/>
              <w:jc w:val="right"/>
            </w:pPr>
            <w:r>
              <w:rPr>
                <w:b w:val="0"/>
                <w:bCs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632" w:type="pct"/>
            <w:gridSpan w:val="7"/>
            <w:shd w:val="clear"/>
            <w:vAlign w:val="center"/>
          </w:tcPr>
          <w:p>
            <w:pPr>
              <w:pStyle w:val="9"/>
              <w:keepNext w:val="0"/>
              <w:keepLines w:val="0"/>
              <w:widowControl/>
              <w:suppressLineNumbers w:val="0"/>
              <w:jc w:val="left"/>
            </w:pPr>
            <w:r>
              <w:rPr>
                <w:b w:val="0"/>
                <w:bCs w:val="0"/>
                <w:sz w:val="22"/>
                <w:szCs w:val="22"/>
              </w:rPr>
              <w:t>部门：株洲市渌口区交通运输局</w:t>
            </w:r>
          </w:p>
        </w:tc>
        <w:tc>
          <w:tcPr>
            <w:tcW w:w="1367" w:type="pct"/>
            <w:gridSpan w:val="2"/>
            <w:shd w:val="clear"/>
            <w:vAlign w:val="center"/>
          </w:tcPr>
          <w:p>
            <w:pPr>
              <w:pStyle w:val="9"/>
              <w:keepNext w:val="0"/>
              <w:keepLines w:val="0"/>
              <w:widowControl/>
              <w:suppressLineNumbers w:val="0"/>
              <w:jc w:val="right"/>
            </w:pPr>
            <w:r>
              <w:rPr>
                <w:b w:val="0"/>
                <w:bCs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1,035.67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278.73</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348.27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27.39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30701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218.34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35.07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30702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奖金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176.56</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5.44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111.84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26.78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7.08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49.95</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2.89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88.69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15.52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17.53</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0.95</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7.87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2.80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49.86</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31021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6.17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31022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30305</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8.36</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8.61</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赠与</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49.12</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30231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30239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16.45</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30240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15.14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1,053.20</w:t>
            </w:r>
          </w:p>
        </w:tc>
        <w:tc>
          <w:tcPr>
            <w:tcW w:w="2645" w:type="pct"/>
            <w:gridSpan w:val="5"/>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278.73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left"/>
            </w:pPr>
            <w:r>
              <w:rPr>
                <w:b w:val="0"/>
                <w:bCs w:val="0"/>
                <w:sz w:val="22"/>
                <w:szCs w:val="22"/>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2"/>
            <w:shd w:val="clear"/>
            <w:vAlign w:val="center"/>
          </w:tcPr>
          <w:p>
            <w:pPr>
              <w:pStyle w:val="9"/>
              <w:keepNext w:val="0"/>
              <w:keepLines w:val="0"/>
              <w:widowControl/>
              <w:suppressLineNumbers w:val="0"/>
              <w:jc w:val="center"/>
            </w:pPr>
            <w:r>
              <w:rPr>
                <w:b w:val="0"/>
                <w:bCs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16" w:type="pct"/>
            <w:shd w:val="clear"/>
            <w:vAlign w:val="center"/>
          </w:tcPr>
          <w:p>
            <w:pPr>
              <w:pStyle w:val="9"/>
              <w:keepNext w:val="0"/>
              <w:keepLines w:val="0"/>
              <w:widowControl/>
              <w:suppressLineNumbers w:val="0"/>
            </w:pPr>
          </w:p>
        </w:tc>
        <w:tc>
          <w:tcPr>
            <w:tcW w:w="416" w:type="pct"/>
            <w:shd w:val="clear"/>
            <w:vAlign w:val="center"/>
          </w:tcPr>
          <w:p>
            <w:pPr>
              <w:pStyle w:val="9"/>
              <w:keepNext w:val="0"/>
              <w:keepLines w:val="0"/>
              <w:widowControl/>
              <w:suppressLineNumbers w:val="0"/>
            </w:pPr>
          </w:p>
        </w:tc>
        <w:tc>
          <w:tcPr>
            <w:tcW w:w="416" w:type="pct"/>
            <w:shd w:val="clear"/>
            <w:vAlign w:val="center"/>
          </w:tcPr>
          <w:p>
            <w:pPr>
              <w:pStyle w:val="9"/>
              <w:keepNext w:val="0"/>
              <w:keepLines w:val="0"/>
              <w:widowControl/>
              <w:suppressLineNumbers w:val="0"/>
            </w:pPr>
          </w:p>
        </w:tc>
        <w:tc>
          <w:tcPr>
            <w:tcW w:w="416" w:type="pct"/>
            <w:shd w:val="clear"/>
            <w:vAlign w:val="center"/>
          </w:tcPr>
          <w:p>
            <w:pPr>
              <w:pStyle w:val="9"/>
              <w:keepNext w:val="0"/>
              <w:keepLines w:val="0"/>
              <w:widowControl/>
              <w:suppressLineNumbers w:val="0"/>
            </w:pPr>
          </w:p>
        </w:tc>
        <w:tc>
          <w:tcPr>
            <w:tcW w:w="416" w:type="pct"/>
            <w:shd w:val="clear"/>
            <w:vAlign w:val="center"/>
          </w:tcPr>
          <w:p>
            <w:pPr>
              <w:pStyle w:val="9"/>
              <w:keepNext w:val="0"/>
              <w:keepLines w:val="0"/>
              <w:widowControl/>
              <w:suppressLineNumbers w:val="0"/>
            </w:pPr>
          </w:p>
        </w:tc>
        <w:tc>
          <w:tcPr>
            <w:tcW w:w="416" w:type="pct"/>
            <w:shd w:val="clear"/>
            <w:vAlign w:val="center"/>
          </w:tcPr>
          <w:p>
            <w:pPr>
              <w:pStyle w:val="9"/>
              <w:keepNext w:val="0"/>
              <w:keepLines w:val="0"/>
              <w:widowControl/>
              <w:suppressLineNumbers w:val="0"/>
            </w:pPr>
          </w:p>
        </w:tc>
        <w:tc>
          <w:tcPr>
            <w:tcW w:w="416" w:type="pct"/>
            <w:shd w:val="clear"/>
            <w:vAlign w:val="center"/>
          </w:tcPr>
          <w:p>
            <w:pPr>
              <w:pStyle w:val="9"/>
              <w:keepNext w:val="0"/>
              <w:keepLines w:val="0"/>
              <w:widowControl/>
              <w:suppressLineNumbers w:val="0"/>
            </w:pPr>
          </w:p>
        </w:tc>
        <w:tc>
          <w:tcPr>
            <w:tcW w:w="416" w:type="pct"/>
            <w:shd w:val="clear"/>
            <w:vAlign w:val="center"/>
          </w:tcPr>
          <w:p>
            <w:pPr>
              <w:pStyle w:val="9"/>
              <w:keepNext w:val="0"/>
              <w:keepLines w:val="0"/>
              <w:widowControl/>
              <w:suppressLineNumbers w:val="0"/>
            </w:pPr>
          </w:p>
        </w:tc>
        <w:tc>
          <w:tcPr>
            <w:tcW w:w="416" w:type="pct"/>
            <w:shd w:val="clear"/>
            <w:vAlign w:val="center"/>
          </w:tcPr>
          <w:p>
            <w:pPr>
              <w:pStyle w:val="9"/>
              <w:keepNext w:val="0"/>
              <w:keepLines w:val="0"/>
              <w:widowControl/>
              <w:suppressLineNumbers w:val="0"/>
            </w:pPr>
          </w:p>
        </w:tc>
        <w:tc>
          <w:tcPr>
            <w:tcW w:w="416" w:type="pct"/>
            <w:shd w:val="clear"/>
            <w:vAlign w:val="center"/>
          </w:tcPr>
          <w:p>
            <w:pPr>
              <w:pStyle w:val="9"/>
              <w:keepNext w:val="0"/>
              <w:keepLines w:val="0"/>
              <w:widowControl/>
              <w:suppressLineNumbers w:val="0"/>
            </w:pPr>
          </w:p>
        </w:tc>
        <w:tc>
          <w:tcPr>
            <w:tcW w:w="833" w:type="pct"/>
            <w:gridSpan w:val="2"/>
            <w:shd w:val="clear"/>
            <w:vAlign w:val="center"/>
          </w:tcPr>
          <w:p>
            <w:pPr>
              <w:pStyle w:val="9"/>
              <w:keepNext w:val="0"/>
              <w:keepLines w:val="0"/>
              <w:widowControl/>
              <w:suppressLineNumbers w:val="0"/>
              <w:jc w:val="right"/>
            </w:pPr>
            <w:r>
              <w:rPr>
                <w:b w:val="0"/>
                <w:bCs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6" w:type="pct"/>
            <w:gridSpan w:val="10"/>
            <w:shd w:val="clear"/>
            <w:vAlign w:val="center"/>
          </w:tcPr>
          <w:p>
            <w:pPr>
              <w:pStyle w:val="9"/>
              <w:keepNext w:val="0"/>
              <w:keepLines w:val="0"/>
              <w:widowControl/>
              <w:suppressLineNumbers w:val="0"/>
              <w:jc w:val="left"/>
            </w:pPr>
            <w:r>
              <w:rPr>
                <w:b w:val="0"/>
                <w:bCs w:val="0"/>
                <w:sz w:val="22"/>
                <w:szCs w:val="22"/>
              </w:rPr>
              <w:t>部门：株洲市渌口区交通运输局</w:t>
            </w:r>
          </w:p>
        </w:tc>
        <w:tc>
          <w:tcPr>
            <w:tcW w:w="833"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4.00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4.00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vAlign w:val="center"/>
          </w:tcPr>
          <w:p>
            <w:pPr>
              <w:pStyle w:val="9"/>
              <w:keepNext w:val="0"/>
              <w:keepLines w:val="0"/>
              <w:widowControl/>
              <w:suppressLineNumbers w:val="0"/>
              <w:jc w:val="left"/>
            </w:pPr>
            <w:r>
              <w:rPr>
                <w:b w:val="0"/>
                <w:bCs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center"/>
            </w:pPr>
            <w:r>
              <w:rPr>
                <w:b w:val="0"/>
                <w:bCs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4" w:type="pct"/>
            <w:shd w:val="clear"/>
            <w:vAlign w:val="center"/>
          </w:tcPr>
          <w:p>
            <w:pPr>
              <w:pStyle w:val="9"/>
              <w:keepNext w:val="0"/>
              <w:keepLines w:val="0"/>
              <w:widowControl/>
              <w:suppressLineNumbers w:val="0"/>
            </w:pPr>
          </w:p>
        </w:tc>
        <w:tc>
          <w:tcPr>
            <w:tcW w:w="104" w:type="pct"/>
            <w:shd w:val="clear"/>
            <w:vAlign w:val="center"/>
          </w:tcPr>
          <w:p>
            <w:pPr>
              <w:pStyle w:val="9"/>
              <w:keepNext w:val="0"/>
              <w:keepLines w:val="0"/>
              <w:widowControl/>
              <w:suppressLineNumbers w:val="0"/>
            </w:pPr>
          </w:p>
        </w:tc>
        <w:tc>
          <w:tcPr>
            <w:tcW w:w="104" w:type="pct"/>
            <w:shd w:val="clear"/>
            <w:vAlign w:val="center"/>
          </w:tcPr>
          <w:p>
            <w:pPr>
              <w:pStyle w:val="9"/>
              <w:keepNext w:val="0"/>
              <w:keepLines w:val="0"/>
              <w:widowControl/>
              <w:suppressLineNumbers w:val="0"/>
            </w:pPr>
          </w:p>
        </w:tc>
        <w:tc>
          <w:tcPr>
            <w:tcW w:w="1078" w:type="pct"/>
            <w:shd w:val="clear"/>
            <w:vAlign w:val="center"/>
          </w:tcPr>
          <w:p>
            <w:pPr>
              <w:pStyle w:val="9"/>
              <w:keepNext w:val="0"/>
              <w:keepLines w:val="0"/>
              <w:widowControl/>
              <w:suppressLineNumbers w:val="0"/>
            </w:pPr>
          </w:p>
        </w:tc>
        <w:tc>
          <w:tcPr>
            <w:tcW w:w="368" w:type="pct"/>
            <w:shd w:val="clear"/>
            <w:vAlign w:val="center"/>
          </w:tcPr>
          <w:p>
            <w:pPr>
              <w:pStyle w:val="9"/>
              <w:keepNext w:val="0"/>
              <w:keepLines w:val="0"/>
              <w:widowControl/>
              <w:suppressLineNumbers w:val="0"/>
            </w:pPr>
          </w:p>
        </w:tc>
        <w:tc>
          <w:tcPr>
            <w:tcW w:w="614" w:type="pct"/>
            <w:shd w:val="clear"/>
            <w:vAlign w:val="center"/>
          </w:tcPr>
          <w:p>
            <w:pPr>
              <w:pStyle w:val="9"/>
              <w:keepNext w:val="0"/>
              <w:keepLines w:val="0"/>
              <w:widowControl/>
              <w:suppressLineNumbers w:val="0"/>
            </w:pPr>
          </w:p>
        </w:tc>
        <w:tc>
          <w:tcPr>
            <w:tcW w:w="335" w:type="pct"/>
            <w:shd w:val="clear"/>
            <w:vAlign w:val="center"/>
          </w:tcPr>
          <w:p>
            <w:pPr>
              <w:pStyle w:val="9"/>
              <w:keepNext w:val="0"/>
              <w:keepLines w:val="0"/>
              <w:widowControl/>
              <w:suppressLineNumbers w:val="0"/>
            </w:pPr>
          </w:p>
        </w:tc>
        <w:tc>
          <w:tcPr>
            <w:tcW w:w="473" w:type="pct"/>
            <w:shd w:val="clear"/>
            <w:vAlign w:val="center"/>
          </w:tcPr>
          <w:p>
            <w:pPr>
              <w:pStyle w:val="9"/>
              <w:keepNext w:val="0"/>
              <w:keepLines w:val="0"/>
              <w:widowControl/>
              <w:suppressLineNumbers w:val="0"/>
            </w:pPr>
          </w:p>
        </w:tc>
        <w:tc>
          <w:tcPr>
            <w:tcW w:w="1816" w:type="pct"/>
            <w:gridSpan w:val="2"/>
            <w:shd w:val="clear"/>
            <w:vAlign w:val="center"/>
          </w:tcPr>
          <w:p>
            <w:pPr>
              <w:pStyle w:val="9"/>
              <w:keepNext w:val="0"/>
              <w:keepLines w:val="0"/>
              <w:widowControl/>
              <w:suppressLineNumbers w:val="0"/>
              <w:jc w:val="right"/>
            </w:pPr>
            <w:r>
              <w:rPr>
                <w:b w:val="0"/>
                <w:bCs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83" w:type="pct"/>
            <w:gridSpan w:val="8"/>
            <w:shd w:val="clear"/>
            <w:vAlign w:val="center"/>
          </w:tcPr>
          <w:p>
            <w:pPr>
              <w:pStyle w:val="9"/>
              <w:keepNext w:val="0"/>
              <w:keepLines w:val="0"/>
              <w:widowControl/>
              <w:suppressLineNumbers w:val="0"/>
              <w:jc w:val="left"/>
            </w:pPr>
            <w:r>
              <w:rPr>
                <w:b w:val="0"/>
                <w:bCs w:val="0"/>
                <w:sz w:val="22"/>
                <w:szCs w:val="22"/>
              </w:rPr>
              <w:t>部门：株洲市渌口区交通运输局</w:t>
            </w:r>
          </w:p>
        </w:tc>
        <w:tc>
          <w:tcPr>
            <w:tcW w:w="1816"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600.00</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600.00</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600.00</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w:t>
            </w: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城乡社区支出</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21208</w:t>
            </w: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国有土地使用权出让收入安排的支出</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2120899</w:t>
            </w: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其他国有土地使用权出让收入安排的支出</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600.00</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left"/>
            </w:pPr>
            <w:r>
              <w:rPr>
                <w:b w:val="0"/>
                <w:bCs w:val="0"/>
                <w:sz w:val="22"/>
                <w:szCs w:val="22"/>
              </w:rPr>
              <w:t>注：本表反映部门本年度政府性基金预算财政拨款收入、支出及结转和结余情况。本表金额转换为万元时，因四舍五入可能存在尾数误差。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center"/>
            </w:pPr>
            <w:r>
              <w:rPr>
                <w:b w:val="0"/>
                <w:bCs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vAlign w:val="center"/>
          </w:tcPr>
          <w:p>
            <w:pPr>
              <w:pStyle w:val="9"/>
              <w:keepNext w:val="0"/>
              <w:keepLines w:val="0"/>
              <w:widowControl/>
              <w:suppressLineNumbers w:val="0"/>
            </w:pPr>
          </w:p>
        </w:tc>
        <w:tc>
          <w:tcPr>
            <w:tcW w:w="165" w:type="pct"/>
            <w:shd w:val="clear"/>
            <w:vAlign w:val="center"/>
          </w:tcPr>
          <w:p>
            <w:pPr>
              <w:pStyle w:val="9"/>
              <w:keepNext w:val="0"/>
              <w:keepLines w:val="0"/>
              <w:widowControl/>
              <w:suppressLineNumbers w:val="0"/>
            </w:pPr>
          </w:p>
        </w:tc>
        <w:tc>
          <w:tcPr>
            <w:tcW w:w="165" w:type="pct"/>
            <w:shd w:val="clear"/>
            <w:vAlign w:val="center"/>
          </w:tcPr>
          <w:p>
            <w:pPr>
              <w:pStyle w:val="9"/>
              <w:keepNext w:val="0"/>
              <w:keepLines w:val="0"/>
              <w:widowControl/>
              <w:suppressLineNumbers w:val="0"/>
            </w:pPr>
          </w:p>
        </w:tc>
        <w:tc>
          <w:tcPr>
            <w:tcW w:w="1972" w:type="pct"/>
            <w:shd w:val="clear"/>
            <w:vAlign w:val="center"/>
          </w:tcPr>
          <w:p>
            <w:pPr>
              <w:pStyle w:val="9"/>
              <w:keepNext w:val="0"/>
              <w:keepLines w:val="0"/>
              <w:widowControl/>
              <w:suppressLineNumbers w:val="0"/>
            </w:pPr>
          </w:p>
        </w:tc>
        <w:tc>
          <w:tcPr>
            <w:tcW w:w="843" w:type="pct"/>
            <w:shd w:val="clear"/>
            <w:vAlign w:val="center"/>
          </w:tcPr>
          <w:p>
            <w:pPr>
              <w:pStyle w:val="9"/>
              <w:keepNext w:val="0"/>
              <w:keepLines w:val="0"/>
              <w:widowControl/>
              <w:suppressLineNumbers w:val="0"/>
            </w:pPr>
          </w:p>
        </w:tc>
        <w:tc>
          <w:tcPr>
            <w:tcW w:w="1686" w:type="pct"/>
            <w:gridSpan w:val="2"/>
            <w:shd w:val="clear"/>
            <w:vAlign w:val="center"/>
          </w:tcPr>
          <w:p>
            <w:pPr>
              <w:pStyle w:val="9"/>
              <w:keepNext w:val="0"/>
              <w:keepLines w:val="0"/>
              <w:widowControl/>
              <w:suppressLineNumbers w:val="0"/>
              <w:jc w:val="right"/>
            </w:pPr>
            <w:r>
              <w:rPr>
                <w:b w:val="0"/>
                <w:bCs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3313" w:type="pct"/>
            <w:gridSpan w:val="5"/>
            <w:shd w:val="clear"/>
            <w:vAlign w:val="center"/>
          </w:tcPr>
          <w:p>
            <w:pPr>
              <w:pStyle w:val="9"/>
              <w:keepNext w:val="0"/>
              <w:keepLines w:val="0"/>
              <w:widowControl/>
              <w:suppressLineNumbers w:val="0"/>
              <w:jc w:val="left"/>
            </w:pPr>
            <w:r>
              <w:rPr>
                <w:b w:val="0"/>
                <w:bCs w:val="0"/>
                <w:sz w:val="22"/>
                <w:szCs w:val="22"/>
              </w:rPr>
              <w:t>部门：株洲市渌口区交通运输局</w:t>
            </w:r>
          </w:p>
        </w:tc>
        <w:tc>
          <w:tcPr>
            <w:tcW w:w="1686"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left"/>
            </w:pPr>
            <w:r>
              <w:rPr>
                <w:b w:val="0"/>
                <w:bCs w:val="0"/>
                <w:sz w:val="22"/>
                <w:szCs w:val="22"/>
              </w:rPr>
              <w:t>注：本表反映部门本年度国有资本经营预算财政拨款支出情况。本表金额转换为万元时，因四舍五入可能存在尾数误差。</w:t>
            </w:r>
          </w:p>
        </w:tc>
      </w:tr>
    </w:tbl>
    <w:p>
      <w:pPr>
        <w:rPr>
          <w:color w:val="000000"/>
        </w:rPr>
        <w:sectPr>
          <w:pgSz w:w="16838" w:h="11906"/>
          <w:pgMar w:top="1080" w:right="400" w:bottom="1080" w:left="400" w:header="851" w:footer="992" w:gutter="0"/>
          <w:paperSrc/>
          <w:cols w:space="0" w:num="1"/>
          <w:docGrid w:type="linesAndChars" w:linePitch="160" w:charSpace="0"/>
        </w:sectPr>
      </w:pPr>
    </w:p>
    <w:p>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2021年度收、支总计11,542.85万元。与上一年度相比，收、支总计各增加4,783.6万元，增长70.77%。主要是因为机构改革，人员增加、项目增加。</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2021年度收入合计11,542.85万元，其中：财政拨款收入11,542.85万元，占100%；上级补助收入0万元，占0%；事业收入0万元，占0%；经营收入0万元，占0%；附属单位上缴收入0万元，占0%；其他收入0万元，占0%。</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2021年度支出合计11,542.85万元，其中：基本支出1,331.93万元，占11.54%；项目支出10,210.92万元，占88.46%；上缴上级支出0万元，占0%；经营支出0万元，占0%；对附属单位补助支出0万元，占0%。</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2021年度财政拨款收、支总计11,542.85万元。与上一年度相比，财政拨款收、支总计各增加4,783.6万元，增长70.77%。主要是因为机构改革、人员增加、项目增加。</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13"/>
        <w:spacing w:before="0" w:beforeAutospacing="0" w:after="2" w:afterAutospacing="0"/>
        <w:ind w:left="0" w:firstLine="855"/>
        <w:rPr>
          <w:sz w:val="27"/>
          <w:szCs w:val="27"/>
        </w:rPr>
      </w:pPr>
      <w:r>
        <w:rPr>
          <w:rFonts w:ascii="宋体" w:hAnsi="宋体" w:eastAsia="宋体" w:cs="宋体"/>
          <w:color w:val="000000"/>
          <w:sz w:val="32"/>
          <w:szCs w:val="32"/>
        </w:rPr>
        <w:t>2021年度财政拨款支出10,942.85万元，占本年支出合计的94.8%。与上一年度相比，财政拨款支出增加5,183.6万元，增长90%。主要是因为项目增加。</w:t>
      </w:r>
      <w:r>
        <w:rPr>
          <w:rFonts w:hint="eastAsia" w:ascii="宋体" w:hAnsi="宋体" w:eastAsia="宋体" w:cs="宋体"/>
          <w:color w:val="000000"/>
          <w:sz w:val="32"/>
          <w:szCs w:val="32"/>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10,942.85万元，主要用于以下方面：一般公共服务支出3万元，占0.03%；节能环保支出176万元，占1.61%；城乡社区支出70万元，占0.64%；交通运输支出10,585.66万元，占96.73%；资源勘探工业信息等支出19.5万元，占0.18%；住房保障支出88.69万元，占0.81%。</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2021年度财政拨款支出年初预算数为1,548.27万元，支出决算数为10,942.85万元，完成年初预算的706.78%，其中：</w:t>
      </w:r>
      <w:r>
        <w:rPr>
          <w:color w:val="000000"/>
          <w:sz w:val="27"/>
          <w:szCs w:val="27"/>
        </w:rPr>
        <w:t xml:space="preserve"> </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1、一般公共服务支出（类）财政事务（款）一般行政管理事务（项）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2、节能环保支出（类）能源节约利用（款）能源节约利用（项）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年初预算为0万元，支出决算为176万元，由于年初预算为0万元，无法计算百分比。决算数大于年初预算数的主要原因是：增加相应的项目。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3、城乡社区支出（类）城乡社区管理事务（款）其他城乡社区管理事务支出（项）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年初预算为0万元，支出决算为70万元，由于年初预算为0万元，无法计算百分比。决算数大于年初预算数的主要原因是：增加相应的项目。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4、交通运输支出（类）公路水路运输（款）行政运行（项）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年初预算为915.43万元，支出决算为1,243.24万元，完成年初预算的135.81%。决算数大于年初预算数的主要原因是：机构改革，人员合并。</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5、交通运输支出（类）公路水路运输（款）一般行政管理事务（项）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年初预算为0万元，支出决算为10万元，由于年初预算为0万元，无法计算百分比。决算数大于年初预算数的主要原因是：增加相应的项目。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6、交通运输支出（类）公路水路运输（款）公路建设（项）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年初预算为0万元，支出决算为6,797.25万元，由于年初预算为0万元，无法计算百分比。决算数大于年初预算数的主要原因是：未考核完成，第二年年初支付。</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7、交通运输支出（类）公路水路运输（款）公路养护（项）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年初预算为0万元，支出决算为190万元，由于年初预算为0万元，无法计算百分比。决算数大于年初预算数的主要原因是：增加相应的项目。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8、交通运输支出（类）公路水路运输（款）公路运输管理（项）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年初预算为22.2万元，支出决算为114.03万元，完成年初预算的513.65%。决算数大于年初预算数的主要原因是：增加相应的项目。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9、交通运输支出（类）公路水路运输（款）海事管理（项）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年初预算为26万元，支出决算为6.96万元，完成年初预算的26.77%。决算数小于年初预算数的主要原因是：增加相应的项目。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10、交通运输支出（类）公路水路运输（款）水路运输管理支出（项）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年初预算为119.7万元，支出决算为60.41万元，完成年初预算的50.47%。决算数小于年初预算数的主要原因是：考核未完成，第二年初支付。</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11、交通运输支出（类）公路水路运输（款）其他公路水路运输支出（项）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年初预算为400万元，支出决算为1,778.8万元，完成年初预算的444.7%。决算数大于年初预算数的主要原因是：增加相应的项目。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12、交通运输支出（类）成品油价格改革对交通运输的补贴（款）对城市公交的补贴（项）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年初预算为0万元，支出决算为75.62万元，由于年初预算为0万元，无法计算百分比。决算数大于年初预算数的主要原因是：增加相应的项目。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13、交通运输支出（类）成品油价格改革对交通运输的补贴（款）对农村道路客运的补贴（项）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年初预算为0万元，支出决算为189.29万元，由于年初预算为0万元，无法计算百分比。决算数大于年初预算数的主要原因是：增加相应的项目。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14、交通运输支出（类）成品油价格改革对交通运输的补贴（款）对出租车的补贴（项）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年初预算为0万元，支出决算为51.27万元，由于年初预算为0万元，无法计算百分比。决算数大于年初预算数的主要原因是：增加相应的项目。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15、交通运输支出（类）成品油价格改革对交通运输的补贴（款）成品油价格改革补贴其他支出（项）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年初预算为0万元，支出决算为24.3万元，由于年初预算为0万元，无法计算百分比。决算数大于年初预算数的主要原因是：增加相应的项目。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16、交通运输支出（类）其他交通运输支出（款）其他交通运输支出（项）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年初预算为0万元，支出决算为44.5万元，由于年初预算为0万元，无法计算百分比。决算数大于年初预算数的主要原因是：增加相应的项目。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17、资源勘探工业信息等支出（类）资源勘探开发（款）其他资源勘探业支出（项）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年初预算为0万元，支出决算为19.5万元，由于年初预算为0万元，无法计算百分比。决算数大于年初预算数的主要原因是：增加相应的项目。</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18、住房保障支出（类）住房改革支出（款）住房公积金（项）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年初预算为64.94万元，支出决算为88.69万元，完成年初预算的136.57%。决算数大于年初预算数的主要原因是：人员增加。</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1,331.93万元，其中：人员经费1,053.2万元，占基本支出的79.07%，主要包括：基本工资、津贴补贴、奖金、机关事业单位基本养老保险缴费、职工基本医疗保险缴费、其他社会保障缴费、住房公积金、其他工资福利支出、抚恤金、生活补助、其他对个人和家庭的补助。公用经费278.73万元，占基本支出的20.93%，主要包括：办公费、印刷费、咨询费、水费、电费、邮电费、物业管理费、差旅费、维修（护）费、租赁费、会议费、培训费、公务接待费、专用材料费、劳务费、工会经费、其他交通费用、其他商品和服务支出。</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2021年度“三公”经费财政拨款支出预算为4万元，支出决算为4万元，完成预算的100%，</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其中：</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公务接待费支出预算为4万元，支出决算为4万元，完成预算的100%，决算数与预算数一致，我单位严格按预算执行决算，与上年相比增加2.68万元，增长203.03%，增长的主要原因是职能增加、接待增加。</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公务用车购置费及运行维护费支出预算为0万元，支出决算为0万元，决算数与预算数一致，我单位严格按预算执行决算，公务用车购置费及运行维护费支出与上年持平。</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2021年度“三公”经费财政拨款支出决算中，公务接待费支出决算4万元，占100%，因公出国（境）费支出决算0万元，占0%，公务用车购置费及运行维护费支出决算0万元，占0%。其中：</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2、公务接待费支出决算为4万元，全年共接待来访团组25个、来宾290人次，主要是来客来访增加发生的接待支出。</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 xml:space="preserve">2021年度政府性基金预算财政拨款收入600万元；年初结转和结余0万元；支出600万元，其中基本支出0万元，项目支出600万元；年末结转和结余0万元。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i w:val="0"/>
          <w:iCs w:val="0"/>
          <w:caps w:val="0"/>
          <w:color w:val="000000"/>
          <w:spacing w:val="0"/>
          <w:sz w:val="32"/>
          <w:szCs w:val="32"/>
        </w:rPr>
        <w:t xml:space="preserve">株洲市渌口区交通运输局2021年度机关运行经费支出278.73万元，比年初预算数增加103.12万元，增长58.72%。主要原因是：机构改革，人员增加。 </w:t>
      </w:r>
    </w:p>
    <w:p>
      <w:pPr>
        <w:pStyle w:val="13"/>
        <w:spacing w:before="0" w:beforeAutospacing="0" w:after="2" w:afterAutospacing="0"/>
        <w:ind w:left="0" w:firstLine="640"/>
        <w:rPr>
          <w:sz w:val="27"/>
          <w:szCs w:val="27"/>
        </w:rPr>
      </w:pPr>
      <w:r>
        <w:rPr>
          <w:rFonts w:hint="eastAsia" w:ascii="宋体" w:hAnsi="宋体" w:eastAsia="宋体" w:cs="宋体"/>
          <w:b/>
          <w:bCs/>
          <w:i w:val="0"/>
          <w:iCs w:val="0"/>
          <w:caps w:val="0"/>
          <w:color w:val="000000"/>
          <w:spacing w:val="0"/>
          <w:sz w:val="32"/>
          <w:szCs w:val="32"/>
        </w:rPr>
        <w:t>十、一般性支出情况</w:t>
      </w:r>
      <w:r>
        <w:rPr>
          <w:i w:val="0"/>
          <w:iCs w:val="0"/>
          <w:caps w:val="0"/>
          <w:color w:val="000000"/>
          <w:spacing w:val="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i w:val="0"/>
          <w:iCs w:val="0"/>
          <w:caps w:val="0"/>
          <w:color w:val="000000"/>
          <w:spacing w:val="0"/>
          <w:sz w:val="32"/>
          <w:szCs w:val="32"/>
        </w:rPr>
        <w:t>2021年度株洲市渌口区交通运输局一般性支出269.34万元，其中：会议费1.95万元，用于召开安全生产会；公交的士疫情防控会；，人数50人，会议内容为安全生产会议；公交、的士疫情防控会议。开支培训费10.87万元，用于开展执法教育培训；行业安全教育培训，人数180人，培训内容为执法教育培训；行业安全教育培训。</w:t>
      </w:r>
      <w:r>
        <w:rPr>
          <w:rFonts w:ascii="宋体" w:hAnsi="宋体" w:eastAsia="宋体" w:cs="宋体"/>
          <w:i w:val="0"/>
          <w:iCs w:val="0"/>
          <w:caps w:val="0"/>
          <w:color w:val="000000"/>
          <w:spacing w:val="0"/>
          <w:sz w:val="32"/>
          <w:szCs w:val="32"/>
        </w:rPr>
        <w:t>未举办节庆、晚会、论坛、赛事活动等。</w:t>
      </w:r>
      <w:r>
        <w:rPr>
          <w:rFonts w:hint="eastAsia" w:ascii="宋体" w:hAnsi="宋体" w:eastAsia="宋体" w:cs="宋体"/>
          <w:i w:val="0"/>
          <w:iCs w:val="0"/>
          <w:caps w:val="0"/>
          <w:color w:val="000000"/>
          <w:spacing w:val="0"/>
          <w:sz w:val="32"/>
          <w:szCs w:val="32"/>
        </w:rPr>
        <w:t>办公费40.96万元；印刷费47.97万元；咨询费4万元；水费5.44万元；电费31.78万元；邮电费18.08万元；取暖费0万元；物业管理费2.89万元；差旅费1.57万元；因公出国（境）费用0万元；维修（护）费33.52万元；租赁费21.25万元；公务接待费4万元；被装购置费0万元；劳务费8.61万元；委托业务费0万元；公务用车运行维护费0万元；其他交通费用36.45万元；房屋建筑物购建0万元；办公设备购置0万元；公务用车购置0万元；其他交通工具购置0万元。</w:t>
      </w:r>
      <w:r>
        <w:rPr>
          <w:i w:val="0"/>
          <w:iCs w:val="0"/>
          <w:caps w:val="0"/>
          <w:color w:val="000000"/>
          <w:spacing w:val="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b/>
          <w:bCs/>
          <w:i w:val="0"/>
          <w:iCs w:val="0"/>
          <w:caps w:val="0"/>
          <w:color w:val="000000"/>
          <w:spacing w:val="0"/>
          <w:sz w:val="32"/>
          <w:szCs w:val="32"/>
        </w:rPr>
        <w:t>十一、关于政府采购支出说明</w:t>
      </w:r>
      <w:r>
        <w:rPr>
          <w:i w:val="0"/>
          <w:iCs w:val="0"/>
          <w:caps w:val="0"/>
          <w:color w:val="000000"/>
          <w:spacing w:val="0"/>
          <w:sz w:val="27"/>
          <w:szCs w:val="27"/>
        </w:rPr>
        <w:t xml:space="preserve"> </w:t>
      </w:r>
    </w:p>
    <w:p>
      <w:pPr>
        <w:pStyle w:val="13"/>
        <w:spacing w:before="0" w:beforeAutospacing="0" w:after="2" w:afterAutospacing="0"/>
        <w:ind w:left="0" w:firstLine="640"/>
        <w:jc w:val="both"/>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株洲市渌口区交通运输局2021年度政府采购支出总额0万元，其中：政府采购货物支出0万元、政府采购工程支出0万元、政府采购服务支出0万元。授予中小企业合同金额0万</w:t>
      </w:r>
      <w:r>
        <w:rPr>
          <w:rFonts w:hint="eastAsia" w:ascii="宋体" w:hAnsi="宋体" w:eastAsia="宋体" w:cs="宋体"/>
          <w:i w:val="0"/>
          <w:iCs w:val="0"/>
          <w:caps w:val="0"/>
          <w:color w:val="000000"/>
          <w:spacing w:val="0"/>
          <w:sz w:val="32"/>
          <w:szCs w:val="32"/>
        </w:rPr>
        <w:t xml:space="preserve">元，由于政府采购支出总额为0，无法计算所占百分比，其中：授予小微企业合同金额0万元，由于政府采购支出总额为0，无法计算所占百分比。 </w:t>
      </w:r>
    </w:p>
    <w:p>
      <w:pPr>
        <w:pStyle w:val="13"/>
        <w:spacing w:before="0" w:beforeAutospacing="0" w:after="2" w:afterAutospacing="0"/>
        <w:ind w:left="0" w:firstLine="640"/>
        <w:rPr>
          <w:sz w:val="27"/>
          <w:szCs w:val="27"/>
        </w:rPr>
      </w:pPr>
      <w:r>
        <w:rPr>
          <w:rFonts w:hint="eastAsia" w:ascii="宋体" w:hAnsi="宋体" w:eastAsia="宋体" w:cs="宋体"/>
          <w:b/>
          <w:bCs/>
          <w:i w:val="0"/>
          <w:iCs w:val="0"/>
          <w:caps w:val="0"/>
          <w:color w:val="000000"/>
          <w:spacing w:val="0"/>
          <w:sz w:val="32"/>
          <w:szCs w:val="32"/>
        </w:rPr>
        <w:t>十二、关于国有资产占用情况说明</w:t>
      </w:r>
      <w:r>
        <w:rPr>
          <w:i w:val="0"/>
          <w:iCs w:val="0"/>
          <w:caps w:val="0"/>
          <w:color w:val="000000"/>
          <w:spacing w:val="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i w:val="0"/>
          <w:iCs w:val="0"/>
          <w:caps w:val="0"/>
          <w:color w:val="000000"/>
          <w:spacing w:val="0"/>
          <w:sz w:val="32"/>
          <w:szCs w:val="32"/>
        </w:rPr>
        <w:t>截至2021年12月31日，株洲市渌口区交通运输局共有车辆0辆（台），其中：副部（省）级及以上领导用车0辆、主要领导干部用车0辆、机要通信用车0辆、应急保障用车0辆、执法执勤用车0辆、特种专业技术用车0辆、其他用车0辆；单价50万元（含）以上通用设备0台（套），单价100万元（含）以上专用设备0台（套）。</w:t>
      </w:r>
      <w:r>
        <w:rPr>
          <w:i w:val="0"/>
          <w:iCs w:val="0"/>
          <w:caps w:val="0"/>
          <w:color w:val="000000"/>
          <w:spacing w:val="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b/>
          <w:bCs/>
          <w:i w:val="0"/>
          <w:iCs w:val="0"/>
          <w:caps w:val="0"/>
          <w:color w:val="000000"/>
          <w:spacing w:val="0"/>
          <w:sz w:val="32"/>
          <w:szCs w:val="32"/>
        </w:rPr>
        <w:t>十三、关于2021年度预算绩效情况说明</w:t>
      </w:r>
      <w:r>
        <w:rPr>
          <w:i w:val="0"/>
          <w:iCs w:val="0"/>
          <w:caps w:val="0"/>
          <w:color w:val="000000"/>
          <w:spacing w:val="0"/>
          <w:sz w:val="27"/>
          <w:szCs w:val="27"/>
        </w:rPr>
        <w:t xml:space="preserve"> </w:t>
      </w:r>
    </w:p>
    <w:p>
      <w:pPr>
        <w:pStyle w:val="13"/>
        <w:spacing w:before="0" w:beforeAutospacing="0" w:after="2" w:afterAutospacing="0"/>
        <w:ind w:left="0" w:firstLine="640"/>
        <w:rPr>
          <w:sz w:val="27"/>
          <w:szCs w:val="27"/>
        </w:rPr>
      </w:pPr>
      <w:r>
        <w:rPr>
          <w:rStyle w:val="12"/>
          <w:rFonts w:ascii="宋体" w:hAnsi="宋体" w:eastAsia="宋体" w:cs="宋体"/>
          <w:i w:val="0"/>
          <w:iCs w:val="0"/>
          <w:caps w:val="0"/>
          <w:color w:val="000000"/>
          <w:spacing w:val="0"/>
          <w:sz w:val="36"/>
          <w:szCs w:val="36"/>
        </w:rPr>
        <w:t>（1）绩效管理评价工作开展情况</w:t>
      </w:r>
    </w:p>
    <w:p>
      <w:pPr>
        <w:pStyle w:val="13"/>
        <w:spacing w:before="0" w:beforeAutospacing="0" w:after="2" w:afterAutospacing="0"/>
        <w:ind w:left="0" w:firstLine="640"/>
        <w:rPr>
          <w:sz w:val="27"/>
          <w:szCs w:val="27"/>
        </w:rPr>
      </w:pPr>
      <w:r>
        <w:rPr>
          <w:rFonts w:ascii="宋体" w:hAnsi="宋体" w:eastAsia="宋体" w:cs="宋体"/>
          <w:i w:val="0"/>
          <w:iCs w:val="0"/>
          <w:caps w:val="0"/>
          <w:color w:val="000000"/>
          <w:spacing w:val="0"/>
          <w:sz w:val="32"/>
          <w:szCs w:val="32"/>
        </w:rPr>
        <w:t>根据预算绩效管理要求，我部门组织对2021年度一般公共预算项目支出全面开展绩效自评，其中，一级项目3个，二级项目20个，共涉及资金10210.92万元，占一般公共预算项目支出总额的100%。组织对2021年度其他国有土地收入出让等1个政府性基金预算项目支出开展绩效自评，共涉及资金600万元，占政府性基金预算项目支出总额的100%。组织对2021年度0等0个国有资本经营预算项目支出开展绩效自评，共涉及资金0万元，占国有资本经营预算项目支出总额的0%。</w:t>
      </w:r>
      <w:r>
        <w:rPr>
          <w:i w:val="0"/>
          <w:iCs w:val="0"/>
          <w:caps w:val="0"/>
          <w:color w:val="000000"/>
          <w:spacing w:val="0"/>
          <w:sz w:val="27"/>
          <w:szCs w:val="27"/>
        </w:rPr>
        <w:t xml:space="preserve"> </w:t>
      </w:r>
    </w:p>
    <w:p>
      <w:pPr>
        <w:pStyle w:val="13"/>
        <w:spacing w:before="0" w:beforeAutospacing="0" w:after="2" w:afterAutospacing="0"/>
        <w:ind w:left="0" w:firstLine="640"/>
        <w:rPr>
          <w:sz w:val="27"/>
          <w:szCs w:val="27"/>
        </w:rPr>
      </w:pPr>
      <w:r>
        <w:rPr>
          <w:rFonts w:ascii="宋体" w:hAnsi="宋体" w:eastAsia="宋体" w:cs="宋体"/>
          <w:i w:val="0"/>
          <w:iCs w:val="0"/>
          <w:caps w:val="0"/>
          <w:color w:val="000000"/>
          <w:spacing w:val="0"/>
          <w:sz w:val="32"/>
          <w:szCs w:val="32"/>
        </w:rPr>
        <w:t>组织对“局机关及二级机构”等4个项目开展了部门评价，涉及一般公共预算支出10342.85万元，政府性基金预算支出600万元，国有资本经营预算支出0万元。从评价情况来看，2021年，我局严格按照年初预算批复认真组织实施，严格执行财经纪律相关管理规定，做到各项收支安排使用符合事业发展计划和财政政策的要求，确保了单位正常运行和重大项目的实施，较好地完成了 2021 年部门预算编制和决算汇总工作,2021 年目标任务基本完成，预算执行情况较好。但仍存在预算编制不够完善，个别项目进度缓慢、绩效管理工作有待加强等问题。</w:t>
      </w:r>
      <w:r>
        <w:rPr>
          <w:rFonts w:ascii="宋体" w:hAnsi="宋体" w:eastAsia="宋体" w:cs="宋体"/>
          <w:i w:val="0"/>
          <w:iCs w:val="0"/>
          <w:caps w:val="0"/>
          <w:color w:val="000000"/>
          <w:spacing w:val="0"/>
          <w:sz w:val="32"/>
          <w:szCs w:val="32"/>
        </w:rPr>
        <w:br w:type="textWrapping"/>
      </w:r>
      <w:r>
        <w:rPr>
          <w:rFonts w:ascii="宋体" w:hAnsi="宋体" w:eastAsia="宋体" w:cs="宋体"/>
          <w:i w:val="0"/>
          <w:iCs w:val="0"/>
          <w:caps w:val="0"/>
          <w:color w:val="000000"/>
          <w:spacing w:val="0"/>
          <w:sz w:val="32"/>
          <w:szCs w:val="32"/>
        </w:rPr>
        <w:t>在今后的工作中，我局将严格按照新《预算法》的要求，加强预算编制的科学性、合理性，让预算编制更贴合实际，使项目预算与工作结合更加紧密。严格按照批复预算执行，按照项目开展进度有计划申请资金及时支付。加强预算绩效管理，增强预算约束力，做好预算项目支出绩效目标及各项绩效指标的细化、量化工作，用好用活各类财政资金，提高财政资金的使用效益。</w:t>
      </w:r>
      <w:r>
        <w:rPr>
          <w:i w:val="0"/>
          <w:iCs w:val="0"/>
          <w:caps w:val="0"/>
          <w:color w:val="000000"/>
          <w:spacing w:val="0"/>
          <w:sz w:val="27"/>
          <w:szCs w:val="27"/>
        </w:rPr>
        <w:t xml:space="preserve"> </w:t>
      </w:r>
    </w:p>
    <w:p>
      <w:pPr>
        <w:pStyle w:val="13"/>
        <w:spacing w:before="0" w:beforeAutospacing="0" w:after="2" w:afterAutospacing="0"/>
        <w:ind w:left="0" w:firstLine="640"/>
        <w:rPr>
          <w:sz w:val="27"/>
          <w:szCs w:val="27"/>
        </w:rPr>
      </w:pPr>
      <w:r>
        <w:rPr>
          <w:rFonts w:ascii="宋体" w:hAnsi="宋体" w:eastAsia="宋体" w:cs="宋体"/>
          <w:i w:val="0"/>
          <w:iCs w:val="0"/>
          <w:caps w:val="0"/>
          <w:color w:val="000000"/>
          <w:spacing w:val="0"/>
          <w:sz w:val="32"/>
          <w:szCs w:val="32"/>
        </w:rPr>
        <w:t>组织对“交通运输局”等1个单位开展整体支出绩效评价，涉及一般公共预算支出10342.85万元，政府性基金预算支出600万元。从评价情况来看，从评价情况来看，2021年，我局严格按照年初预算批复认真组织实施，严格执行财经纪律相关管理规定，做到各项收支安排使用符合事业发展计划和财政政策的要求，确保了单位正常运行和重大项目的实施，较好地完成了 2021 年部门预算编制和决算汇总工作,2021 年目标任务基本完成，预算执行情况较好。但仍存在预算编制不够完善，个别项目进度缓慢、绩效管理工作有待加强等问题。</w:t>
      </w:r>
      <w:r>
        <w:rPr>
          <w:rFonts w:ascii="宋体" w:hAnsi="宋体" w:eastAsia="宋体" w:cs="宋体"/>
          <w:i w:val="0"/>
          <w:iCs w:val="0"/>
          <w:caps w:val="0"/>
          <w:color w:val="000000"/>
          <w:spacing w:val="0"/>
          <w:sz w:val="32"/>
          <w:szCs w:val="32"/>
        </w:rPr>
        <w:br w:type="textWrapping"/>
      </w:r>
      <w:r>
        <w:rPr>
          <w:rFonts w:ascii="宋体" w:hAnsi="宋体" w:eastAsia="宋体" w:cs="宋体"/>
          <w:i w:val="0"/>
          <w:iCs w:val="0"/>
          <w:caps w:val="0"/>
          <w:color w:val="000000"/>
          <w:spacing w:val="0"/>
          <w:sz w:val="32"/>
          <w:szCs w:val="32"/>
        </w:rPr>
        <w:t>在今后的工作中，我局将严格按照新《预算法》的要求，加强预算编制的科学性、合理性，让预算编制更贴合实际，使项目预算与工作结合更加紧密。严格按照批复预算执行，按照项目开展进度有计划申请资金及时支付。加强预算绩效管理，增强预算约束力，做好预算项目支出绩效目标及各项绩效指标的细化、量化工作，用好用活各类财政资金，提高财政资金的使用效益。</w:t>
      </w:r>
    </w:p>
    <w:p>
      <w:pPr>
        <w:pStyle w:val="13"/>
        <w:spacing w:before="0" w:beforeAutospacing="0" w:after="2" w:afterAutospacing="0"/>
        <w:ind w:left="0" w:firstLine="640"/>
        <w:rPr>
          <w:sz w:val="27"/>
          <w:szCs w:val="27"/>
        </w:rPr>
      </w:pPr>
      <w:r>
        <w:rPr>
          <w:rStyle w:val="12"/>
          <w:rFonts w:ascii="宋体" w:hAnsi="宋体" w:eastAsia="宋体" w:cs="宋体"/>
          <w:i w:val="0"/>
          <w:iCs w:val="0"/>
          <w:caps w:val="0"/>
          <w:color w:val="000000"/>
          <w:spacing w:val="0"/>
          <w:sz w:val="36"/>
          <w:szCs w:val="36"/>
        </w:rPr>
        <w:t>（2）部门决算中项目绩效自评结果</w:t>
      </w:r>
      <w:r>
        <w:rPr>
          <w:i w:val="0"/>
          <w:iCs w:val="0"/>
          <w:caps w:val="0"/>
          <w:color w:val="000000"/>
          <w:spacing w:val="0"/>
          <w:sz w:val="27"/>
          <w:szCs w:val="27"/>
        </w:rPr>
        <w:t xml:space="preserve"> </w:t>
      </w:r>
    </w:p>
    <w:p>
      <w:pPr>
        <w:pStyle w:val="13"/>
        <w:spacing w:before="0" w:beforeAutospacing="0" w:after="2" w:afterAutospacing="0"/>
        <w:ind w:left="0" w:firstLine="640"/>
        <w:rPr>
          <w:sz w:val="27"/>
          <w:szCs w:val="27"/>
        </w:rPr>
      </w:pPr>
      <w:r>
        <w:rPr>
          <w:rFonts w:ascii="宋体" w:hAnsi="宋体" w:eastAsia="宋体" w:cs="宋体"/>
          <w:i w:val="0"/>
          <w:iCs w:val="0"/>
          <w:caps w:val="0"/>
          <w:color w:val="000000"/>
          <w:spacing w:val="0"/>
          <w:sz w:val="32"/>
          <w:szCs w:val="32"/>
        </w:rPr>
        <w:t>交通运输项目绩效自评综述：根据年初设定的绩效目标，项目绩效自评得分为95分。项目全年预算数为567.9万元，执行数为10210.92万元，完成预算的17980%。项目绩效目标完成情况：一是农村公路建设及监管；二是水上安全运输保障。发现的主要问题及原因：一是农村公路投入资金不够；二是设施设备较为薄弱。下一步改进措施：一是加大农村公路建设资金投入；二是完善配套设施。项目绩效自评综述：我局严格按照年初预算批复认真组织实施，严格执行财经纪律相关管理规定，做到各项收支安排使用符合事业发展计划和财政政策的要求，确保了单位正常运行和重大项目的实施，较好地完成了 2021 年部门预算编制和决算汇总工作，2021 年目标任务基本完成，预算执行情况较好。但仍存在预算编制不够完善，个别项目进度缓慢、绩效管理工作有待加强等问题。在今后的工作中，我局将严格按照新《预算法》的要求，加强预算编制的科学性、合理性，让预算编制更贴合实际，使项目预算与工作结合更加紧密。严格按照批复预算执行，按照项目开展进度有计划申请资金及时支付。加强预算绩效管理，增强预算约束力，做好预算项目支出绩效目标及各项绩效指标的细化、量化工作，用好用活各类财政资金，提高财政资金的使用效益。</w:t>
      </w:r>
      <w:r>
        <w:rPr>
          <w:i w:val="0"/>
          <w:iCs w:val="0"/>
          <w:caps w:val="0"/>
          <w:color w:val="000000"/>
          <w:spacing w:val="0"/>
          <w:sz w:val="27"/>
          <w:szCs w:val="27"/>
        </w:rPr>
        <w:t xml:space="preserve"> </w:t>
      </w:r>
    </w:p>
    <w:p>
      <w:pPr>
        <w:pStyle w:val="13"/>
        <w:spacing w:before="0" w:beforeAutospacing="0" w:after="2" w:afterAutospacing="0"/>
        <w:ind w:left="0" w:firstLine="640"/>
        <w:rPr>
          <w:sz w:val="27"/>
          <w:szCs w:val="27"/>
        </w:rPr>
      </w:pPr>
      <w:r>
        <w:rPr>
          <w:rStyle w:val="12"/>
          <w:rFonts w:ascii="宋体" w:hAnsi="宋体" w:eastAsia="宋体" w:cs="宋体"/>
          <w:i w:val="0"/>
          <w:iCs w:val="0"/>
          <w:caps w:val="0"/>
          <w:color w:val="000000"/>
          <w:spacing w:val="0"/>
          <w:sz w:val="36"/>
          <w:szCs w:val="36"/>
        </w:rPr>
        <w:t>（3）</w:t>
      </w:r>
      <w:r>
        <w:rPr>
          <w:rStyle w:val="12"/>
          <w:rFonts w:ascii="宋体" w:hAnsi="宋体" w:eastAsia="宋体" w:cs="宋体"/>
          <w:b/>
          <w:bCs/>
          <w:i w:val="0"/>
          <w:iCs w:val="0"/>
          <w:caps w:val="0"/>
          <w:color w:val="000000"/>
          <w:spacing w:val="0"/>
          <w:sz w:val="36"/>
          <w:szCs w:val="36"/>
        </w:rPr>
        <w:t>部门评价项目绩效评价结果</w:t>
      </w:r>
    </w:p>
    <w:p>
      <w:pPr>
        <w:pStyle w:val="13"/>
        <w:spacing w:before="0" w:beforeAutospacing="0" w:after="2" w:afterAutospacing="0"/>
        <w:ind w:left="0" w:firstLine="640"/>
        <w:rPr>
          <w:sz w:val="27"/>
          <w:szCs w:val="27"/>
        </w:rPr>
      </w:pPr>
      <w:r>
        <w:rPr>
          <w:rFonts w:ascii="宋体" w:hAnsi="宋体" w:eastAsia="宋体" w:cs="宋体"/>
          <w:i w:val="0"/>
          <w:iCs w:val="0"/>
          <w:caps w:val="0"/>
          <w:color w:val="000000"/>
          <w:spacing w:val="0"/>
          <w:sz w:val="32"/>
          <w:szCs w:val="32"/>
        </w:rPr>
        <w:t>绩效评价报告见第五部分附件处。</w:t>
      </w:r>
    </w:p>
    <w:p>
      <w:pPr>
        <w:keepNext w:val="0"/>
        <w:keepLines w:val="0"/>
        <w:widowControl/>
        <w:suppressLineNumbers w:val="0"/>
        <w:jc w:val="left"/>
      </w:pP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pPr>
    </w:p>
    <w:p/>
    <w:p>
      <w:pPr>
        <w:spacing w:before="0" w:beforeAutospacing="0" w:after="2" w:afterAutospacing="0"/>
        <w:jc w:val="center"/>
        <w:rPr>
          <w:sz w:val="21"/>
          <w:szCs w:val="21"/>
        </w:rPr>
      </w:pPr>
      <w:r>
        <w:rPr>
          <w:rFonts w:ascii="宋体" w:hAnsi="宋体" w:eastAsia="宋体" w:cs="宋体"/>
          <w:b/>
          <w:bCs/>
          <w:i w:val="0"/>
          <w:iCs w:val="0"/>
          <w:caps w:val="0"/>
          <w:color w:val="000000"/>
          <w:spacing w:val="0"/>
          <w:sz w:val="36"/>
          <w:szCs w:val="36"/>
        </w:rPr>
        <w:t>第四部分</w:t>
      </w:r>
      <w:r>
        <w:rPr>
          <w:rFonts w:hint="eastAsia" w:ascii="宋体" w:hAnsi="宋体" w:eastAsia="宋体" w:cs="宋体"/>
          <w:b/>
          <w:bCs/>
          <w:i w:val="0"/>
          <w:iCs w:val="0"/>
          <w:caps w:val="0"/>
          <w:color w:val="000000"/>
          <w:spacing w:val="0"/>
          <w:sz w:val="36"/>
          <w:szCs w:val="36"/>
        </w:rPr>
        <w:t xml:space="preserve"> </w:t>
      </w:r>
      <w:r>
        <w:rPr>
          <w:rFonts w:ascii="宋体" w:hAnsi="宋体" w:eastAsia="宋体" w:cs="宋体"/>
          <w:b/>
          <w:bCs/>
          <w:i w:val="0"/>
          <w:iCs w:val="0"/>
          <w:caps w:val="0"/>
          <w:color w:val="000000"/>
          <w:spacing w:val="0"/>
          <w:sz w:val="36"/>
          <w:szCs w:val="36"/>
        </w:rPr>
        <w:t>名词解释</w:t>
      </w:r>
      <w:r>
        <w:rPr>
          <w:i w:val="0"/>
          <w:iCs w:val="0"/>
          <w:caps w:val="0"/>
          <w:color w:val="000000"/>
          <w:spacing w:val="0"/>
          <w:sz w:val="21"/>
          <w:szCs w:val="21"/>
        </w:rPr>
        <w:t xml:space="preserve"> </w:t>
      </w:r>
    </w:p>
    <w:p>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i w:val="0"/>
          <w:iCs w:val="0"/>
          <w:caps w:val="0"/>
          <w:color w:val="000000"/>
          <w:spacing w:val="0"/>
          <w:sz w:val="32"/>
          <w:szCs w:val="32"/>
        </w:rPr>
        <w:t>财政拨款收入</w:t>
      </w:r>
      <w:r>
        <w:rPr>
          <w:rFonts w:ascii="宋体" w:hAnsi="宋体" w:eastAsia="宋体" w:cs="宋体"/>
          <w:i w:val="0"/>
          <w:iCs w:val="0"/>
          <w:caps w:val="0"/>
          <w:color w:val="000000"/>
          <w:spacing w:val="0"/>
          <w:sz w:val="32"/>
          <w:szCs w:val="32"/>
        </w:rPr>
        <w:t>：指财政当年拨付的资金。包括一般公共预算财政拨款和政府性基金财政拨款。</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上级补助收入</w:t>
      </w:r>
      <w:r>
        <w:rPr>
          <w:rFonts w:ascii="宋体" w:hAnsi="宋体" w:eastAsia="宋体" w:cs="宋体"/>
          <w:i w:val="0"/>
          <w:iCs w:val="0"/>
          <w:caps w:val="0"/>
          <w:color w:val="000000"/>
          <w:spacing w:val="0"/>
          <w:sz w:val="32"/>
          <w:szCs w:val="32"/>
        </w:rPr>
        <w:t>：指事业单位从主管部门和上级单位取得的非财政补助收入。</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事业收入：</w:t>
      </w:r>
      <w:r>
        <w:rPr>
          <w:rFonts w:ascii="宋体" w:hAnsi="宋体" w:eastAsia="宋体" w:cs="宋体"/>
          <w:i w:val="0"/>
          <w:iCs w:val="0"/>
          <w:caps w:val="0"/>
          <w:color w:val="000000"/>
          <w:spacing w:val="0"/>
          <w:sz w:val="32"/>
          <w:szCs w:val="32"/>
        </w:rPr>
        <w:t>指事业单位开展专业业务活动及辅助活动所取得的收入。</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经营收入：</w:t>
      </w:r>
      <w:r>
        <w:rPr>
          <w:rFonts w:ascii="宋体" w:hAnsi="宋体" w:eastAsia="宋体" w:cs="宋体"/>
          <w:i w:val="0"/>
          <w:iCs w:val="0"/>
          <w:caps w:val="0"/>
          <w:color w:val="000000"/>
          <w:spacing w:val="0"/>
          <w:sz w:val="32"/>
          <w:szCs w:val="32"/>
        </w:rPr>
        <w:t>指事业单位在专业业务活动及其辅助活动之外开展非独立核算经营活动取得的收入。</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附属单位上缴收入</w:t>
      </w:r>
      <w:r>
        <w:rPr>
          <w:rFonts w:ascii="宋体" w:hAnsi="宋体" w:eastAsia="宋体" w:cs="宋体"/>
          <w:i w:val="0"/>
          <w:iCs w:val="0"/>
          <w:caps w:val="0"/>
          <w:color w:val="000000"/>
          <w:spacing w:val="0"/>
          <w:sz w:val="32"/>
          <w:szCs w:val="32"/>
        </w:rPr>
        <w:t>：指事业单位附属独立核算单位按照有关规定上缴的收入。</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其他收入</w:t>
      </w:r>
      <w:r>
        <w:rPr>
          <w:rFonts w:ascii="宋体" w:hAnsi="宋体" w:eastAsia="宋体" w:cs="宋体"/>
          <w:i w:val="0"/>
          <w:iCs w:val="0"/>
          <w:caps w:val="0"/>
          <w:color w:val="000000"/>
          <w:spacing w:val="0"/>
          <w:sz w:val="32"/>
          <w:szCs w:val="32"/>
        </w:rPr>
        <w:t>：指除上述“财政拨款收入”、“事业收入”、“经营收入”等以外的收入。</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用事业基金弥补收支差额</w:t>
      </w:r>
      <w:r>
        <w:rPr>
          <w:rFonts w:ascii="宋体" w:hAnsi="宋体" w:eastAsia="宋体" w:cs="宋体"/>
          <w:i w:val="0"/>
          <w:iCs w:val="0"/>
          <w:caps w:val="0"/>
          <w:color w:val="000000"/>
          <w:spacing w:val="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年初结转和结余</w:t>
      </w:r>
      <w:r>
        <w:rPr>
          <w:rFonts w:ascii="宋体" w:hAnsi="宋体" w:eastAsia="宋体" w:cs="宋体"/>
          <w:i w:val="0"/>
          <w:iCs w:val="0"/>
          <w:caps w:val="0"/>
          <w:color w:val="000000"/>
          <w:spacing w:val="0"/>
          <w:sz w:val="32"/>
          <w:szCs w:val="32"/>
        </w:rPr>
        <w:t>：指以前年度尚未完成、结转到本年按有关规定继续使用的资金。</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结余分配</w:t>
      </w:r>
      <w:r>
        <w:rPr>
          <w:rFonts w:ascii="宋体" w:hAnsi="宋体" w:eastAsia="宋体" w:cs="宋体"/>
          <w:i w:val="0"/>
          <w:iCs w:val="0"/>
          <w:caps w:val="0"/>
          <w:color w:val="000000"/>
          <w:spacing w:val="0"/>
          <w:sz w:val="32"/>
          <w:szCs w:val="32"/>
        </w:rPr>
        <w:t>：指事业事位按规定从非财政补助结余中分配的事业基金和职工福利基金等。</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年末结转和结余</w:t>
      </w:r>
      <w:r>
        <w:rPr>
          <w:rFonts w:ascii="宋体" w:hAnsi="宋体" w:eastAsia="宋体" w:cs="宋体"/>
          <w:i w:val="0"/>
          <w:iCs w:val="0"/>
          <w:caps w:val="0"/>
          <w:color w:val="000000"/>
          <w:spacing w:val="0"/>
          <w:sz w:val="32"/>
          <w:szCs w:val="32"/>
        </w:rPr>
        <w:t>：指本年度或以前年度预算安排、因客观条件发生变化无法按原计划实施，需要延迟到以后年度按有关规定继续使用的资金。</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基本支出</w:t>
      </w:r>
      <w:r>
        <w:rPr>
          <w:rFonts w:ascii="宋体" w:hAnsi="宋体" w:eastAsia="宋体" w:cs="宋体"/>
          <w:i w:val="0"/>
          <w:iCs w:val="0"/>
          <w:caps w:val="0"/>
          <w:color w:val="000000"/>
          <w:spacing w:val="0"/>
          <w:sz w:val="32"/>
          <w:szCs w:val="32"/>
        </w:rPr>
        <w:t>：指为保障机构正常运转、完成日常工作任务而发生的人员支出和公用支出。</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项目支出</w:t>
      </w:r>
      <w:r>
        <w:rPr>
          <w:rFonts w:ascii="宋体" w:hAnsi="宋体" w:eastAsia="宋体" w:cs="宋体"/>
          <w:i w:val="0"/>
          <w:iCs w:val="0"/>
          <w:caps w:val="0"/>
          <w:color w:val="000000"/>
          <w:spacing w:val="0"/>
          <w:sz w:val="32"/>
          <w:szCs w:val="32"/>
        </w:rPr>
        <w:t>：指在基本支出之外为完成特定行政任务和事业发展目标所发生的支出。</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经营支出</w:t>
      </w:r>
      <w:r>
        <w:rPr>
          <w:rFonts w:ascii="宋体" w:hAnsi="宋体" w:eastAsia="宋体" w:cs="宋体"/>
          <w:i w:val="0"/>
          <w:iCs w:val="0"/>
          <w:caps w:val="0"/>
          <w:color w:val="000000"/>
          <w:spacing w:val="0"/>
          <w:sz w:val="32"/>
          <w:szCs w:val="32"/>
        </w:rPr>
        <w:t>：指事业单位在专业业务活动及其辅助活动之外开展非独立核算经营活动所发生的支出。</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“三公”经费</w:t>
      </w:r>
      <w:r>
        <w:rPr>
          <w:rFonts w:ascii="宋体" w:hAnsi="宋体" w:eastAsia="宋体" w:cs="宋体"/>
          <w:i w:val="0"/>
          <w:iCs w:val="0"/>
          <w:caps w:val="0"/>
          <w:color w:val="000000"/>
          <w:spacing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i w:val="0"/>
          <w:iCs w:val="0"/>
          <w:caps w:val="0"/>
          <w:color w:val="000000"/>
          <w:spacing w:val="0"/>
          <w:sz w:val="32"/>
          <w:szCs w:val="32"/>
        </w:rPr>
        <w:t>机关运行经费</w:t>
      </w:r>
      <w:r>
        <w:rPr>
          <w:rFonts w:ascii="宋体" w:hAnsi="宋体" w:eastAsia="宋体" w:cs="宋体"/>
          <w:i w:val="0"/>
          <w:iCs w:val="0"/>
          <w:caps w:val="0"/>
          <w:color w:val="000000"/>
          <w:spacing w:val="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i w:val="0"/>
          <w:iCs w:val="0"/>
          <w:caps w:val="0"/>
          <w:color w:val="000000"/>
          <w:spacing w:val="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p>
    <w:p>
      <w:pPr>
        <w:spacing w:before="0" w:beforeAutospacing="0" w:after="2" w:afterAutospacing="0"/>
        <w:jc w:val="center"/>
        <w:rPr>
          <w:sz w:val="21"/>
          <w:szCs w:val="21"/>
        </w:rPr>
      </w:pPr>
      <w:r>
        <w:rPr>
          <w:rFonts w:ascii="宋体" w:hAnsi="宋体" w:eastAsia="宋体" w:cs="宋体"/>
          <w:b/>
          <w:bCs/>
          <w:i w:val="0"/>
          <w:iCs w:val="0"/>
          <w:caps w:val="0"/>
          <w:color w:val="000000"/>
          <w:spacing w:val="0"/>
          <w:sz w:val="36"/>
          <w:szCs w:val="36"/>
        </w:rPr>
        <w:t>第五部分</w:t>
      </w:r>
      <w:r>
        <w:rPr>
          <w:rFonts w:hint="eastAsia" w:ascii="宋体" w:hAnsi="宋体" w:eastAsia="宋体" w:cs="宋体"/>
          <w:b/>
          <w:bCs/>
          <w:i w:val="0"/>
          <w:iCs w:val="0"/>
          <w:caps w:val="0"/>
          <w:color w:val="000000"/>
          <w:spacing w:val="0"/>
          <w:sz w:val="36"/>
          <w:szCs w:val="36"/>
        </w:rPr>
        <w:t xml:space="preserve"> </w:t>
      </w:r>
      <w:r>
        <w:rPr>
          <w:rFonts w:ascii="宋体" w:hAnsi="宋体" w:eastAsia="宋体" w:cs="宋体"/>
          <w:b/>
          <w:bCs/>
          <w:i w:val="0"/>
          <w:iCs w:val="0"/>
          <w:caps w:val="0"/>
          <w:color w:val="000000"/>
          <w:spacing w:val="0"/>
          <w:sz w:val="36"/>
          <w:szCs w:val="36"/>
        </w:rPr>
        <w:t>附件</w:t>
      </w:r>
      <w:r>
        <w:rPr>
          <w:i w:val="0"/>
          <w:iCs w:val="0"/>
          <w:caps w:val="0"/>
          <w:color w:val="000000"/>
          <w:spacing w:val="0"/>
          <w:sz w:val="21"/>
          <w:szCs w:val="21"/>
        </w:rPr>
        <w:t xml:space="preserve"> </w:t>
      </w:r>
    </w:p>
    <w:p>
      <w:pPr>
        <w:spacing w:before="0" w:beforeAutospacing="0" w:after="2" w:afterAutospacing="0"/>
        <w:jc w:val="center"/>
        <w:rPr>
          <w:sz w:val="21"/>
          <w:szCs w:val="21"/>
        </w:rPr>
      </w:pPr>
    </w:p>
    <w:sectPr>
      <w:pgSz w:w="11906" w:h="16838" w:orient="landscape"/>
      <w:pgMar w:top="1440" w:right="1080" w:bottom="1440" w:left="1080" w:header="851" w:footer="992" w:gutter="0"/>
      <w:paperSrc/>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variable"/>
    <w:sig w:usb0="00000203" w:usb1="288F0000" w:usb2="00000006" w:usb3="00000000" w:csb0="00040001" w:csb1="00000000"/>
  </w:font>
  <w:font w:name="微软雅黑">
    <w:panose1 w:val="020B0503020204020204"/>
    <w:charset w:val="86"/>
    <w:family w:val="auto"/>
    <w:pitch w:val="variable"/>
    <w:sig w:usb0="80000287" w:usb1="2ACF3C50" w:usb2="00000016" w:usb3="00000000" w:csb0="0004001F" w:csb1="00000000"/>
  </w:font>
  <w:font w:name="楷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00006FF" w:usb1="4000205B" w:usb2="00000010" w:usb3="00000000" w:csb0="2000019F"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ACF3C50" w:usb2="00000016" w:usb3="00000000" w:csb0="0004001F" w:csb1="00000000"/>
  </w:font>
  <w:font w:name="Arial Black">
    <w:panose1 w:val="020B0A04020102020204"/>
    <w:charset w:val="00"/>
    <w:family w:val="auto"/>
    <w:pitch w:val="variable"/>
    <w:sig w:usb0="A00002AF" w:usb1="400078FB" w:usb2="00000000" w:usb3="00000000" w:csb0="6000009F" w:csb1="DFD70000"/>
  </w:font>
  <w:font w:name="新宋体">
    <w:panose1 w:val="02010609030101010101"/>
    <w:charset w:val="86"/>
    <w:family w:val="auto"/>
    <w:pitch w:val="fixed"/>
    <w:sig w:usb0="00000203" w:usb1="288F0000" w:usb2="00000006" w:usb3="00000000" w:csb0="00040001" w:csb1="00000000"/>
  </w:font>
  <w:font w:name="@新宋体">
    <w:panose1 w:val="02010609030101010101"/>
    <w:charset w:val="86"/>
    <w:family w:val="auto"/>
    <w:pitch w:val="fixed"/>
    <w:sig w:usb0="00000203" w:usb1="288F0000" w:usb2="00000006" w:usb3="00000000" w:csb0="00040001" w:csb1="00000000"/>
  </w:font>
  <w:font w:name="Tahoma">
    <w:panose1 w:val="020B0604030504040204"/>
    <w:charset w:val="00"/>
    <w:family w:val="auto"/>
    <w:pitch w:val="variable"/>
    <w:sig w:usb0="E1002EFF" w:usb1="C000605B" w:usb2="00000029" w:usb3="00000000" w:csb0="200101FF" w:csb1="2028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auto"/>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ZmI2YzY2ODM3ZDU4YjVlZjY4ODgyNjgxYTUzN2EifQ=="/>
  </w:docVars>
  <w:rsids>
    <w:rsidRoot w:val="00000000"/>
    <w:rsid w:val="28421820"/>
    <w:rsid w:val="35635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2023-09-28T05:29:33Z</dcterms:created>
  <dc:creator>lecoo</dc:creator>
  <cp:lastModifiedBy>Heneciakim </cp:lastModifiedBy>
  <dcterms:modified xsi:type="dcterms:W3CDTF">2023-09-28T05:31:09Z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3832918C17674B8CA886B0B31AD4A0BD_13</vt:lpwstr>
  </property>
</Properties>
</file>